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26 марта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55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after="0" w:afterAutospacing="0" w:line="243" w:lineRule="exact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О внесении изменений в Положение о муниципальном земельном контроле на территории муниципального образования города Ставрополя Ставропольского края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В соответствии с Федеральным законом от 31 июля 2020 года                   № 248-ФЗ «О государственном контроле (надзоре) и муниципальном контроле в Российской Федерации», Уставом муниципального образования городского округа города Ставрополя Ставропол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ьского края Ставропольская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городская Дума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РЕШИЛА: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1. Внести в Положение о муниципальном земельном контроле на территории муниципального образования города Ставрополя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Ставропольского края, утвержденное решением Ставропольской городской Думы от 25 августа 2021 г. № 596 «Об утверждении Положения о муниципаль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ном земельном контроле на территории муниципального образования города Ставрополя Ставропольского края» (с изменениями, внесенными решениями Ставропольской городской Думы от 26 января                 2022 г. № 46, от 21 декабря 2022 г.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№ 148, от 13 марта 2024 г. № 276,                    от 29 мая 2024 г. № 302, от 25 апреля 2025 г. № 395), следующие изменения: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1) в пункте 8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а) 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абзац первый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изложить в следующей редакции: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«8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. Отнесение земельных участков к категориям риска и изменение присвоенных земельным участкам категорий риска осуществляются путем подписания данных об объекте контроля с указанием сведений о контролируемом лице, описания объекта контроля и присвоенной кате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гории риска в перечне объектов контроля единого реестра видов контроля. Объекты контроля считаются отнесенными к одной из категорий риска после внесения сведений в единый реестр видов контроля.»;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б) 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абзацы девятый и десятый признать утратившими силу;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2) пункт 8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изложить в следующей редакции: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«8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Публикация сведений о земельных участках осуществляется уполномоченным органом в порядке, установленном </w:t>
      </w:r>
      <w:hyperlink r:id="rId11" w:tooltip="https://login.consultant.ru/link/?req=doc&amp;base=LAW&amp;n=521885&amp;date=14.01.2026" w:history="1">
        <w:r>
          <w:rPr>
            <w:rStyle w:val="897"/>
            <w:rFonts w:ascii="Times New Roman" w:hAnsi="Times New Roman" w:eastAsia="Times New Roman" w:cs="Times New Roman"/>
            <w:i w:val="0"/>
            <w:iCs w:val="0"/>
            <w:color w:val="000000"/>
            <w:sz w:val="28"/>
            <w:szCs w:val="28"/>
            <w:u w:val="none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Правительства Российской Федерации от 24 октября 2011 г. № 861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6"/>
          <w:sz w:val="28"/>
          <w:szCs w:val="28"/>
        </w:rPr>
        <w:t xml:space="preserve">«О федеральных государственных информационных системах, обеспечивающих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предоставление в электронной форме государственных и муниципальных услуг (осуществление функций)».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В описании объекта контроля обязательно должна содержаться информация о кадастровом номере земельного участка или при его отсутствии 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об адресе местоположения земельного участка.»;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3) в абзаце втором пункта 8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после слов «вправе подать» дополнить словами «, в том числе через федеральную государственную информационную систему «Единый портал государственных и муниципальных услуг (функций)» (далее 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единый портал государственных и муниципальных услуг),»;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4) пункт 15 дополнить абзацем следующего содержания: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«В случаях, предусмотренных </w:t>
      </w:r>
      <w:hyperlink r:id="rId12" w:tooltip="https://login.consultant.ru/link/?req=doc&amp;base=LAW&amp;n=508984&amp;dst=101366&amp;field=134&amp;date=14.01.2026" w:history="1">
        <w:r>
          <w:rPr>
            <w:rStyle w:val="897"/>
            <w:rFonts w:ascii="Times New Roman" w:hAnsi="Times New Roman" w:eastAsia="Times New Roman" w:cs="Times New Roman"/>
            <w:i w:val="0"/>
            <w:iCs w:val="0"/>
            <w:color w:val="000000"/>
            <w:sz w:val="28"/>
            <w:szCs w:val="28"/>
            <w:u w:val="none"/>
          </w:rPr>
          <w:t xml:space="preserve">статьей 52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Федеральног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 закона от                      31 июля 2020 года № 248-ФЗ «О государственном контроле (надзоре) и муниципальном контроле в Российской Федерации», муниципальные служащие уполномоченного органа, на которых в соответствии с должностными инструкциями возложе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но осуществление муниципального земельного контроля, выдают предписание об устранении выявленных нарушений обязательных требований.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5) абзац первый пункта 18 изложить в следующей редакции: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«18. 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должностн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ым лицом уполномоченного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6) в абзаце четвертом пункта 21 слова «журналы учета» заменить словом «учет»;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7) в пункте 21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bCs w:val="0"/>
          <w:i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а) абзацы первый  и второй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изложить в следующей редакции: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«21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. Предостережение о недопустимости нарушения обязательных требований (далее 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предостережение) объявляется контролируемому лицу    в случае наличия у уполномоченного органа сведений о готовящихся нарушениях обязательных требований или признаках нарушений обяз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е объявляется и направляется контролируемому лицу в порядке, предусмотренном Федеральным </w:t>
      </w:r>
      <w:hyperlink r:id="rId13" w:tooltip="https://login.consultant.ru/link/?req=doc&amp;base=LAW&amp;n=508984&amp;date=14.01.2026" w:history="1">
        <w:r>
          <w:rPr>
            <w:rStyle w:val="897"/>
            <w:rFonts w:ascii="Times New Roman" w:hAnsi="Times New Roman" w:eastAsia="Times New Roman" w:cs="Times New Roman"/>
            <w:i w:val="0"/>
            <w:iCs w:val="0"/>
            <w:color w:val="000000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31 июля 2020 года № 248-ФЗ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Федерации», руководителем (заместителем руководителя) уполномоченного органа не позднее 30 дней со дня получения указанных сведений.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мероприятий.»;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б) в абзаце третьем после слов «в отношении предостережения (далее 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возражение)»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8) в пункте 21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а) 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абзац первый после слов «видео-конференц-связи» дополнить словами «или мобильного приложения «Инспектор»;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б) абзац третий признать утратившим силу;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9) пункт 21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изложить в следующей редакции: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«21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. Обязательный профилактический визит проводится в случаях, установленных статьей 52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Федерального закона от 31 июля 2020 года                    № 248-ФЗ «О государственном контроле (надзоре) и муниципальном контроле в Российской Федерации», и не предусматривает отказ контролируемого лица от его проведения.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4" w:tooltip="https://login.consultant.ru/link/?req=doc&amp;base=LAW&amp;n=508984&amp;dst=101128&amp;field=134&amp;date=15.01.2026" w:history="1">
        <w:r>
          <w:rPr>
            <w:rStyle w:val="897"/>
            <w:rFonts w:ascii="Times New Roman" w:hAnsi="Times New Roman" w:eastAsia="Times New Roman" w:cs="Times New Roman"/>
            <w:i w:val="0"/>
            <w:iCs w:val="0"/>
            <w:color w:val="000000"/>
            <w:sz w:val="28"/>
            <w:szCs w:val="28"/>
            <w:u w:val="none"/>
          </w:rPr>
          <w:t xml:space="preserve">частью 5 статьи 21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Федерального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u w:val="none"/>
        </w:rPr>
        <w:t xml:space="preserve">закона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31 июля 2020 года № 248-ФЗ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Федерации».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hyperlink r:id="rId15" w:tooltip="https://login.consultant.ru/link/?req=doc&amp;base=LAW&amp;n=508984&amp;dst=100996&amp;field=134&amp;date=12.03.2026" w:history="1">
        <w:r>
          <w:rPr>
            <w:rStyle w:val="897"/>
            <w:rFonts w:ascii="Times New Roman" w:hAnsi="Times New Roman" w:eastAsia="Times New Roman" w:cs="Times New Roman"/>
            <w:i w:val="0"/>
            <w:iCs w:val="0"/>
            <w:color w:val="000000"/>
            <w:sz w:val="28"/>
            <w:szCs w:val="28"/>
            <w:u w:val="none"/>
          </w:rPr>
          <w:t xml:space="preserve">статьей 90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Федерального закона от 31 июля                   2020 года № 248-ФЗ «О государственном контроле (надзоре) и муниципальном контроле в Российской Федерации» для контрольных мероприятий.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В случае выявления в ходе проведения обязательного профилактического визита нарушений обязательных требований и если такие нарушения не устранены до окончания проведения обязательного профилактического визита, контролируемому лицу выдается предписание об у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странении выявленных нарушений обязательных требований в порядке, установленном Федеральным </w:t>
      </w:r>
      <w:hyperlink r:id="rId16" w:tooltip="https://login.consultant.ru/link/?req=doc&amp;base=LAW&amp;n=508984&amp;date=12.03.2026" w:history="1">
        <w:r>
          <w:rPr>
            <w:rStyle w:val="897"/>
            <w:rFonts w:ascii="Times New Roman" w:hAnsi="Times New Roman" w:eastAsia="Times New Roman" w:cs="Times New Roman"/>
            <w:i w:val="0"/>
            <w:iCs w:val="0"/>
            <w:color w:val="000000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от 31 июля 2020 года № 248-ФЗ                      «О государственном контроле (надзоре) и муниципальном контроле в Российской Федерации».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должностным лицом уполномоченного органа составляется акт о невозможности проведения обязательного профилактического визита 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порядке, предусмотренном Федеральным </w:t>
      </w:r>
      <w:hyperlink r:id="rId17" w:tooltip="https://login.consultant.ru/link/?req=doc&amp;base=LAW&amp;n=508984&amp;date=12.03.2026" w:history="1">
        <w:r>
          <w:rPr>
            <w:rStyle w:val="897"/>
            <w:rFonts w:ascii="Times New Roman" w:hAnsi="Times New Roman" w:eastAsia="Times New Roman" w:cs="Times New Roman"/>
            <w:i w:val="0"/>
            <w:iCs w:val="0"/>
            <w:color w:val="000000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от 31 июля 2020 года                 № 248-ФЗ «О государственном контроле (надзоре) и муниципальном контроле в Российской Федерации».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В случае невозможности проведения обязательного профилактического визита должностное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орном проведении обязательного профилактического визита в отношении контролируемого лица.»;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10) пункт 21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4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дополнить подпунктом 5 следующего содержания: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«5) контролируемое лицо не соответствует критериям, предусмотренным частью 1 статьи 52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Федерального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u w:val="none"/>
        </w:rPr>
        <w:t xml:space="preserve">закона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31 июля                       2020 года № 248-ФЗ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Федерации.»;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11) в пункте 22: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а) абзац пятый дополнить предложением следующего содержания: «Выездное обследование может быть проведено с использованием беспилотных аппаратов (систем) в случае нахождения объекта контроля в труднодоступном месте (крутые обрывы, овраги и другое);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б) дополнить абзацем следующего содержания: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«Рейдовый осмотр,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12) пункт 23 дополнить абзацем следующего содержания: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«В случае выявления нарушений обязательных требований в ходе наблюдения за соблюдением обязательных требований после оформления акта контрольного мероприятия может быть выдано предписание об устранении выявленных нарушений обязательных требований с указани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ем срока их устранения.»;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13) в пункте 26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слова «индикаторы риска нарушения обязательных требований, используемые» заменить словами «перечень индикаторов риска нарушения обязательных требований, используемых», слово «определены» заменить словом «определен»;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14) пункт 29 изложить в следующей редакции: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«29. В случае принятия решения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мероприятия, такое решение принимается на основании мотивированного представления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должностного лица уполномоченного органа о проведении контрольного мероприятия.»;</w:t>
      </w:r>
      <w:r>
        <w:rPr>
          <w:i w:val="0"/>
          <w:iCs w:val="0"/>
          <w:szCs w:val="28"/>
        </w:rPr>
      </w:r>
      <w:r>
        <w:rPr>
          <w:i w:val="0"/>
          <w:iCs w:val="0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bCs w:val="0"/>
          <w:i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15) пункт 33 изложить в следующей редакции: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«33. Для фиксации муниципальными служащими уполномоченного органа, на которых в соответствии с должностными инструкциями возложено осуществление муниципального земельного контроля, и лицами, привлекаемыми к совершению контрольных действий, доказательств со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блюдения (нарушения) обязательных требований могут использоваться фотосъемка, аудио- и видеозапись с применением мобильного приложения «Инспектор», иные способы фиксации, проводимые должностными лицами, уполномоченными на проведение контрольного мероприяти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я.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При проведении контрольных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мероприятий с учетом нормативных правовых актов, регулирующих использование воздушного простран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ства в Российской Федерации, и законодательства о защите государственной тайны.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уполномоченного органа самостоятельно. 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обязательном порядке фото- или видеофиксация доказательств нарушений обязательных требований осуществляется при проведении выездного обследования.</w:t>
      </w:r>
      <w:r>
        <w:rPr>
          <w:i w:val="0"/>
          <w:iCs w:val="0"/>
          <w:szCs w:val="28"/>
        </w:rPr>
      </w:r>
      <w:r>
        <w:rPr>
          <w:i w:val="0"/>
          <w:iCs w:val="0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Проведение фотосъемки, аудио- и видеозаписи осуществляется с обязательным уведомлением контролируемого лица в случае, если контрольное мероприятие проводится в присутствии контролируемого лица.</w:t>
      </w:r>
      <w:r>
        <w:rPr>
          <w:i w:val="0"/>
          <w:iCs w:val="0"/>
          <w:szCs w:val="28"/>
        </w:rPr>
      </w:r>
      <w:r>
        <w:rPr>
          <w:i w:val="0"/>
          <w:iCs w:val="0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земельных отношений, в отношении которого проводится контрольное мероприятие. Фотогр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  <w:r>
        <w:rPr>
          <w:i w:val="0"/>
          <w:iCs w:val="0"/>
          <w:szCs w:val="28"/>
        </w:rPr>
      </w:r>
      <w:r>
        <w:rPr>
          <w:i w:val="0"/>
          <w:iCs w:val="0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Аудио-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тер выявленного нарушения обязательных требований.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ьного мероприятия.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Результаты проведения фотосъемки, аудио- и видеозаписи являются приложением к акту контрольного мероприятия.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Инструментальные обследования в ходе проведения контрольных мероприятий осуществляются путем проведения измерений с применением лазерного дальномера, выполняемых должностными лицами уполномоченного органа, уполномоченными на проведение контрольного меропри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ятия.»;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16) абзац второй пункта 35 изложить в следующей редакции: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проведения невозможно по причине совершения контрольных действий, предусмотренных пунктом 9 части 1 статьи 65 Федерального закон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31 июля 2020 года № 248-ФЗ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Федерации», уполномоченный орган направляет акт контролируемому лицу в порядке, установленном </w:t>
      </w:r>
      <w:hyperlink r:id="rId18" w:tooltip="https://login.consultant.ru/link/?req=doc&amp;base=LAW&amp;n=508984&amp;dst=100225&amp;field=134&amp;date=15.01.2026" w:history="1">
        <w:r>
          <w:rPr>
            <w:rStyle w:val="897"/>
            <w:rFonts w:ascii="Times New Roman" w:hAnsi="Times New Roman" w:eastAsia="Times New Roman" w:cs="Times New Roman"/>
            <w:i w:val="0"/>
            <w:iCs w:val="0"/>
            <w:color w:val="000000"/>
            <w:sz w:val="28"/>
            <w:szCs w:val="28"/>
            <w:u w:val="none"/>
          </w:rPr>
          <w:t xml:space="preserve">статьей 21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Федерального закон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u w:val="none"/>
        </w:rPr>
        <w:t xml:space="preserve">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31 июля 2020 года № 248-ФЗ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Федерации».»;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17) пункт 36 дополнить абзацем следующего содержания: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формирование документа не требуется.»; 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18) в абзаце первом пункта 37 слова «, в том числе через федеральную государственную информационную систему «Единый портал государственных и муниципальных услуг (функций)» (далее 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единый портал государственных и муниципальных услуг)» заменить словами «еди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ный портал государственных и муниципальных услуг»;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19) в подпункте «а» пункта 40 после слов «выявленных нарушений» дополнить словами «обязательных требований»;</w:t>
      </w: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i w:val="0"/>
          <w:i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20) в наименовании приложения 5 слова «Индикаторы риска нарушения обязательных требований, используемые» заменить словами «Перечень индикаторов риска нарушения обязательных требований, используемых».</w:t>
      </w: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2. Настоящее решение вступает в силу на следующий день после                        дня его официального опубликования в сетевом издании «Правовой портал администрации города Ставрополя» (право-ставрополь.рф).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521885&amp;date=14.01.2026" TargetMode="External"/><Relationship Id="rId12" Type="http://schemas.openxmlformats.org/officeDocument/2006/relationships/hyperlink" Target="https://login.consultant.ru/link/?req=doc&amp;base=LAW&amp;n=508984&amp;dst=101366&amp;field=134&amp;date=14.01.2026" TargetMode="External"/><Relationship Id="rId13" Type="http://schemas.openxmlformats.org/officeDocument/2006/relationships/hyperlink" Target="https://login.consultant.ru/link/?req=doc&amp;base=LAW&amp;n=508984&amp;date=14.01.2026" TargetMode="External"/><Relationship Id="rId14" Type="http://schemas.openxmlformats.org/officeDocument/2006/relationships/hyperlink" Target="https://login.consultant.ru/link/?req=doc&amp;base=LAW&amp;n=508984&amp;dst=101128&amp;field=134&amp;date=15.01.2026" TargetMode="External"/><Relationship Id="rId15" Type="http://schemas.openxmlformats.org/officeDocument/2006/relationships/hyperlink" Target="https://login.consultant.ru/link/?req=doc&amp;base=LAW&amp;n=508984&amp;dst=100996&amp;field=134&amp;date=12.03.2026" TargetMode="External"/><Relationship Id="rId16" Type="http://schemas.openxmlformats.org/officeDocument/2006/relationships/hyperlink" Target="https://login.consultant.ru/link/?req=doc&amp;base=LAW&amp;n=508984&amp;date=12.03.2026" TargetMode="External"/><Relationship Id="rId17" Type="http://schemas.openxmlformats.org/officeDocument/2006/relationships/hyperlink" Target="https://login.consultant.ru/link/?req=doc&amp;base=LAW&amp;n=508984&amp;date=12.03.2026" TargetMode="External"/><Relationship Id="rId18" Type="http://schemas.openxmlformats.org/officeDocument/2006/relationships/hyperlink" Target="https://login.consultant.ru/link/?req=doc&amp;base=LAW&amp;n=508984&amp;dst=100225&amp;field=134&amp;date=15.01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159</cp:revision>
  <dcterms:created xsi:type="dcterms:W3CDTF">2017-12-11T11:20:00Z</dcterms:created>
  <dcterms:modified xsi:type="dcterms:W3CDTF">2026-03-31T09:36:55Z</dcterms:modified>
</cp:coreProperties>
</file>