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29 апреля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68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contextualSpacing w:val="0"/>
        <w:ind w:left="0" w:right="0" w:firstLine="0"/>
        <w:jc w:val="both"/>
        <w:spacing w:after="0" w:afterAutospacing="0" w:line="243" w:lineRule="exac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признании утратившим силу </w:t>
      </w:r>
      <w:hyperlink r:id="rId11" w:tooltip="https://login.consultant.ru/link/?req=doc&amp;base=RLAW077&amp;n=175684&amp;date=18.10.2024&amp;dst=100005&amp;field=134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решения Ставропольской городской Думы                 от 21 декабря 2022 г. № 142 «О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дополнительных мерах социальной поддержки студентов, обучающихся по образовательным программам высшего образования, при целевом обучении»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В соответствии с Уставом муниципального образования городского округа города Ставрополя Ставропольского края Ставропольская городская Дума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color w:val="000000" w:themeColor="text1"/>
          <w:sz w:val="28"/>
          <w:szCs w:val="28"/>
          <w:u w:val="none"/>
        </w:rPr>
      </w:r>
      <w:r>
        <w:rPr>
          <w:color w:val="000000" w:themeColor="text1"/>
          <w:sz w:val="28"/>
          <w:szCs w:val="28"/>
          <w:u w:val="none"/>
        </w:rPr>
      </w:r>
    </w:p>
    <w:p>
      <w:pPr>
        <w:ind w:left="0" w:right="0" w:firstLine="0"/>
        <w:spacing w:after="0" w:afterAutospacing="0" w:line="240" w:lineRule="auto"/>
        <w:rPr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РЕШИЛА:</w:t>
      </w:r>
      <w:r>
        <w:rPr>
          <w:color w:val="000000" w:themeColor="text1"/>
          <w:u w:val="none"/>
        </w:rPr>
      </w:r>
      <w:r>
        <w:rPr>
          <w:color w:val="000000" w:themeColor="text1"/>
          <w:u w:val="none"/>
        </w:rPr>
      </w:r>
    </w:p>
    <w:p>
      <w:pPr>
        <w:ind w:left="0" w:right="0" w:firstLine="709"/>
        <w:spacing w:after="0" w:afterAutospacing="0" w:line="240" w:lineRule="auto"/>
        <w:rPr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color w:val="000000" w:themeColor="text1"/>
          <w:sz w:val="28"/>
          <w:szCs w:val="28"/>
          <w:u w:val="none"/>
        </w:rPr>
      </w:r>
      <w:r>
        <w:rPr>
          <w:color w:val="000000" w:themeColor="text1"/>
          <w:sz w:val="28"/>
          <w:szCs w:val="28"/>
          <w:u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1. Признать утратившим силу </w:t>
      </w:r>
      <w:hyperlink r:id="rId12" w:tooltip="https://login.consultant.ru/link/?req=doc&amp;base=RLAW077&amp;n=175684&amp;date=18.10.2024&amp;dst=100005&amp;field=134" w:history="1">
        <w:r>
          <w:rPr>
            <w:rStyle w:val="897"/>
            <w:rFonts w:ascii="Times New Roman" w:hAnsi="Times New Roman" w:eastAsia="Times New Roman" w:cs="Times New Roman"/>
            <w:color w:val="000000" w:themeColor="text1"/>
            <w:sz w:val="28"/>
            <w:u w:val="none"/>
          </w:rPr>
          <w:t xml:space="preserve">решение Ставропольской городской Думы от 21 декабря 2022 г. № 142 «О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 дополнительных мерах социальной поддержки студентов, обучающихся по образовательным программам высшего образования, при целевом обучении».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2. Настоящее решение вступает в силу на следующий день после </w:t>
        <w:br/>
        <w:t xml:space="preserve">дня его официального опубликования в сетевом издании «Правовой портал администрации города Ставрополя» (право-ставрополь.рф).</w:t>
      </w:r>
      <w:r>
        <w:rPr>
          <w:color w:val="000000" w:themeColor="text1"/>
          <w:u w:val="none"/>
        </w:rPr>
      </w:r>
      <w:r>
        <w:rPr>
          <w:color w:val="000000" w:themeColor="text1"/>
          <w:u w:val="none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  <w:t xml:space="preserve">    И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.И.Ульянченко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left="0" w:right="0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  <w:style w:type="character" w:styleId="910" w:customStyle="1">
    <w:name w:val="Font Style11"/>
    <w:next w:val="858"/>
    <w:link w:val="846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077&amp;n=175684&amp;date=18.10.2024&amp;dst=100005&amp;field=134" TargetMode="External"/><Relationship Id="rId12" Type="http://schemas.openxmlformats.org/officeDocument/2006/relationships/hyperlink" Target="https://login.consultant.ru/link/?req=doc&amp;base=RLAW077&amp;n=175684&amp;date=18.10.2024&amp;dst=10000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165</cp:revision>
  <dcterms:created xsi:type="dcterms:W3CDTF">2017-12-11T11:20:00Z</dcterms:created>
  <dcterms:modified xsi:type="dcterms:W3CDTF">2026-04-29T10:37:12Z</dcterms:modified>
</cp:coreProperties>
</file>