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nil" w:color="auto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Отчет о деятельности депутата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Ставропольской г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ородской Думы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по одномандатному избирательному округу №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12</w:t>
        <w:br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Медведева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за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4 год.</w:t>
      </w: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r>
    </w:p>
    <w:p>
      <w:pPr>
        <w:ind w:firstLine="708"/>
        <w:jc w:val="both"/>
        <w:shd w:val="nil" w:color="000000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keepLines w:val="0"/>
        <w:shd w:val="nil" w:color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регулярно принимал участие в заседаниях Ставропольской городской Думы,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участвовал в работе двух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комитетов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по градостроительству, архитектуре, капитальному строительству, земельным и имущественным отношениям и комитета по вопросам жилищно-коммунального хозяйства, благоустройства, дорожного хозяйства, транспорта и энер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гетики в качестве председателя.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комитетом было проведено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заседаний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которых рассмотре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24 вопроса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отнесенны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компетенции комитета.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keepLines w:val="0"/>
        <w:shd w:val="nil" w:color="auto"/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работе комитета по вопросам жилищно-коммунального хозяйства, благоустройства, дорожного хозяйства, транспорта и энергетики можно отметить несколько наиболее важных вопросов, рассматриваемых комитетом.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Один из них, это реализация мероприятий, предусмотренных программой комплексного развития систем коммунальной инфраструктуры города Ставрополя, целью которой 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улучшение качества коммунальных услуг с одновременным снижением нерациональных затрат, обеспечение коммунальными ресурсами новых потребит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елей в соответствии с потребностями жилищного и промышленного строительства, повышение надежности и эффективности функционирования коммунальных систем жизнеобеспечения населения, повышение уровня благоустройства и улу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чшение экологической обстановки города.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keepLines w:val="0"/>
        <w:shd w:val="nil" w:color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 благоустройства были дополнены статьей 37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«Размещение средств индивидуальной мобильности»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согласно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которой средс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 индивидуальной мобильности должны размещаться в местах, предусмотренных Схемой размещения отдельных видов некапитальных нестационарных сооружений или Реестром размещения средств индивидуальной мобильности, утвержденные администрацией города Ставрополя.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Схемой размещений отдельных видов некапитальных нестационарных сооружений определяются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еста, предусматривающие установку парковочных конструкций, а Реестром размещения средств индивидуальной мобильности места, выделенные разметкой, ограничивающей зону парковки средств индивидуальной мобильности или ограниченные географическими координатами.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данной статьей предусматривается где нельзя размещать средства индивидуальной мобильности, а также где их нельзя парковать и оставля</w:t>
      </w:r>
      <w:r>
        <w:rPr>
          <w:rFonts w:ascii="Times New Roman" w:hAnsi="Times New Roman"/>
          <w:sz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Также Комитетом проводилась и другая работа в части профильных вопросов отраженная в отчете о его деятельности за 2024 год.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0"/>
        <w:jc w:val="both"/>
        <w:keepLines w:val="0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Обсуждали мероприятия по развитию дорожного хозяйства и безопасности дорожного движения, ремонте тротуаров, ландшафтной архитектуре зеленых насаждений, ремонте общего имущества в многоквартирных домах, работе подведомственных МУПов, муниципальном 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троле, общегородских санитарных днях в краевой столице и другое.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/>
    </w:p>
    <w:p>
      <w:pPr>
        <w:jc w:val="both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2024 году продолжалась работа по работе с личными обращениями граждан, проведению приема на территории одномандатного избирательного округа,</w:t>
        <w:br/>
        <w:t xml:space="preserve">а также в общественной приемной партии «Единая Россия».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 обращения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принятые в ходе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личных приемов граждан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рассмотрены в установленный законом срок. В отчетном периоде были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организованы тематические декады приемов.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базе Штаба общественной поддержки Ставропольского края прошла встреча с жителями многоквартирных домов, руководителями управляющих организаций Юго-Западного района краевой столицы с участниками федерального проекта Партии «Единая Россия» «Школа грамотно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потребителя», на которой обсудили актуальные вопросы сферы ЖКХ.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Как член общественного совета проекта «ШГП» в Ставропольском крае дал старт проекту «Встречи с жителями МКД». Такие встречи проводятся регулярно и не первый год, для активных жителей организуются круглые столы и семинары по важным и актуальным вопросам отр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асли, такие встречи по прежнему остаются востребованными.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hd w:val="nil" w:color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остался без внимания традиционный праздник день соседей. Провел ряд встреч с жителями многоквартирных домов, приуроченных к 10-летию акции «Международный день соседей».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Акция несет большой вклад в работу,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направленную на укрепление добрососедских отношений.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both"/>
        <w:shd w:val="nil" w:color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музейно-выставочном комплексе «Моя страна. Моя Россия» чествовали активистов Промышленного района в честь его дня рождения. Встреча прошла в теплой и душевной атмосфере. Основная нагрузка по взаимодействию с жителями ложится на плечи председателей микрор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айонов. Выразил им слова благодарности и вручил благодарственные письма за активную работу и вклад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патриотическое воспитание молодежи.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both"/>
        <w:shd w:val="nil" w:color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Вместе с депутатом Алексеем Хитровым посетили лицей №35, где проходил масштабный капитальный ремонт. Оценили проект включающий обновление фасада, внутреннюю отделку, установку современного оборудования и новой мебели.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both"/>
        <w:shd w:val="nil" w:color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честь Международного дня соседей организовал праздничные мероприятия на своем избирательном округе. В этом году праздник юбилейный. Жителей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ждали выступления артистов, развлечения для детей и угощения.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both"/>
        <w:shd w:val="nil" w:color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депутатского контроля участвовал в выездном совещании на стройплощадке новой школы по проспекту Российскому, возводимой по нацпроекту «Образование». Вместе с подрядчиком проинспектировали ход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бот.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both"/>
        <w:shd w:val="nil" w:color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исполняющим обязанности директора школы №54 проверил готовность нового учебного заведения на проспекте Российском. Этот современный образовательный центр, рассчитанны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на 1550 мест, был построен в рамках нацпроекта «Образование».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Осмотрели учебные блоки, рекреации, кабинеты для младших классов, столовую, спортивный и актовый залы. Особое внимание уделили прилегающей территории, где созд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аны все условия для физического развития детей: футбольное поле, беговые дорожки и площадки для активных игр. Школа отличается современным дизайном, который гармонично сочетается с зелеными насаждениями.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both"/>
        <w:shd w:val="nil" w:color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Отметили профессиональный праздник работников сферы ЖКХ. В администрации Промышленного района состоялось торжественное мероприятие, где заслуженные награды получили сотрудники ставропольских управляющих компаний и организаций. С коллегами поздравили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тружеников отрасли. Поблагодарили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 ЖКХ за нелегкий труд, который делает нашу жизнь комфортной и безопасной.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Normal (Web)"/>
    <w:basedOn w:val="83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2025-03-31T06:44:02Z</dcterms:modified>
</cp:coreProperties>
</file>