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2" w:rsidRPr="00F24F42" w:rsidRDefault="00F24F42" w:rsidP="002B4031">
      <w:pPr>
        <w:overflowPunct w:val="0"/>
        <w:autoSpaceDE w:val="0"/>
        <w:autoSpaceDN w:val="0"/>
        <w:adjustRightInd w:val="0"/>
        <w:spacing w:line="216" w:lineRule="auto"/>
        <w:ind w:left="284"/>
        <w:jc w:val="center"/>
        <w:textAlignment w:val="baseline"/>
        <w:rPr>
          <w:b/>
          <w:bCs/>
          <w:szCs w:val="36"/>
        </w:rPr>
      </w:pPr>
      <w:r w:rsidRPr="00F24F42"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F24F42" w:rsidRPr="00F24F42" w:rsidRDefault="00F24F42" w:rsidP="00F24F42">
      <w:pPr>
        <w:keepNext/>
        <w:spacing w:line="216" w:lineRule="auto"/>
        <w:jc w:val="center"/>
        <w:outlineLvl w:val="4"/>
        <w:rPr>
          <w:b/>
          <w:bCs/>
          <w:szCs w:val="28"/>
        </w:rPr>
      </w:pPr>
    </w:p>
    <w:p w:rsidR="00F24F42" w:rsidRPr="00F24F42" w:rsidRDefault="00F24F42" w:rsidP="00F24F42">
      <w:pPr>
        <w:keepNext/>
        <w:spacing w:line="216" w:lineRule="auto"/>
        <w:jc w:val="center"/>
        <w:outlineLvl w:val="4"/>
        <w:rPr>
          <w:b/>
          <w:bCs/>
          <w:szCs w:val="28"/>
        </w:rPr>
      </w:pPr>
      <w:r w:rsidRPr="00F24F42">
        <w:rPr>
          <w:b/>
          <w:bCs/>
          <w:szCs w:val="28"/>
        </w:rPr>
        <w:t>ПОСТАНОВЛЕНИЕ</w:t>
      </w:r>
    </w:p>
    <w:p w:rsidR="00F24F42" w:rsidRPr="00F24F42" w:rsidRDefault="00F24F42" w:rsidP="00F24F42">
      <w:pPr>
        <w:spacing w:line="216" w:lineRule="auto"/>
        <w:jc w:val="center"/>
        <w:rPr>
          <w:szCs w:val="28"/>
        </w:rPr>
      </w:pPr>
    </w:p>
    <w:p w:rsidR="00F24F42" w:rsidRPr="00F24F42" w:rsidRDefault="00F24F42" w:rsidP="00F24F42">
      <w:pPr>
        <w:spacing w:line="216" w:lineRule="auto"/>
        <w:rPr>
          <w:szCs w:val="28"/>
        </w:rPr>
      </w:pPr>
      <w:r w:rsidRPr="00F24F42">
        <w:rPr>
          <w:color w:val="000000"/>
          <w:szCs w:val="28"/>
        </w:rPr>
        <w:t xml:space="preserve">05 февраля 2025 г. </w:t>
      </w:r>
      <w:r w:rsidRPr="00F24F42">
        <w:rPr>
          <w:szCs w:val="28"/>
        </w:rPr>
        <w:t xml:space="preserve">                      г. Ставрополь                                     № 117/81</w:t>
      </w:r>
      <w:r>
        <w:rPr>
          <w:szCs w:val="28"/>
        </w:rPr>
        <w:t>8</w:t>
      </w:r>
    </w:p>
    <w:p w:rsidR="00665CC1" w:rsidRPr="00A73D17" w:rsidRDefault="00665CC1" w:rsidP="00665CC1">
      <w:pPr>
        <w:pStyle w:val="ad"/>
      </w:pPr>
    </w:p>
    <w:p w:rsidR="00665CC1" w:rsidRPr="00A73D17" w:rsidRDefault="00B9440E" w:rsidP="00665CC1">
      <w:pPr>
        <w:spacing w:line="240" w:lineRule="exact"/>
        <w:jc w:val="center"/>
        <w:rPr>
          <w:szCs w:val="28"/>
        </w:rPr>
      </w:pPr>
      <w:r w:rsidRPr="00B9440E">
        <w:rPr>
          <w:szCs w:val="28"/>
        </w:rPr>
        <w:t xml:space="preserve">О Плане основных мероприятий по повышению правовой культуры избирателей и обучению организаторов выборов и иных участников избирательного процесса </w:t>
      </w:r>
      <w:r w:rsidR="00C95FEC" w:rsidRPr="00C95FEC">
        <w:rPr>
          <w:szCs w:val="28"/>
        </w:rPr>
        <w:t>в Промышленном районе города Ставрополя</w:t>
      </w:r>
      <w:r w:rsidRPr="00B9440E">
        <w:rPr>
          <w:szCs w:val="28"/>
        </w:rPr>
        <w:t xml:space="preserve"> на 2025 год</w:t>
      </w:r>
    </w:p>
    <w:p w:rsidR="00665CC1" w:rsidRPr="00A73D17" w:rsidRDefault="00665CC1" w:rsidP="0030274B">
      <w:pPr>
        <w:jc w:val="both"/>
        <w:rPr>
          <w:rFonts w:ascii="Times New Roman CYR" w:hAnsi="Times New Roman CYR"/>
          <w:szCs w:val="28"/>
        </w:rPr>
      </w:pPr>
    </w:p>
    <w:p w:rsidR="00665CC1" w:rsidRPr="00A73D17" w:rsidRDefault="00F24F42" w:rsidP="002B4031">
      <w:pPr>
        <w:ind w:left="284" w:firstLine="567"/>
        <w:jc w:val="both"/>
        <w:rPr>
          <w:szCs w:val="28"/>
        </w:rPr>
      </w:pPr>
      <w:proofErr w:type="gramStart"/>
      <w:r w:rsidRPr="00F24F42">
        <w:rPr>
          <w:szCs w:val="28"/>
        </w:rPr>
        <w:t xml:space="preserve"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 подпунктом 3 пункта 12 статьи 3 Закона Ставропольского края «О системе избирательных комиссий в Ставропольском крае», постановлениями Центральной избирательной комиссии Российской Федерации от 25 декабря 2024 г. № </w:t>
      </w:r>
      <w:r w:rsidRPr="00F24F42">
        <w:rPr>
          <w:szCs w:val="28"/>
          <w:shd w:val="clear" w:color="auto" w:fill="FFFFFF"/>
        </w:rPr>
        <w:t>191/1492-8</w:t>
      </w:r>
      <w:r w:rsidRPr="00F24F42">
        <w:rPr>
          <w:szCs w:val="28"/>
        </w:rPr>
        <w:t xml:space="preserve"> «</w:t>
      </w:r>
      <w:r w:rsidRPr="00F24F42">
        <w:rPr>
          <w:bCs/>
          <w:shd w:val="clear" w:color="auto" w:fill="FFFFFF"/>
        </w:rPr>
        <w:t>О Концепции обучения членов избирательных комиссий</w:t>
      </w:r>
      <w:proofErr w:type="gramEnd"/>
      <w:r w:rsidRPr="00F24F42">
        <w:rPr>
          <w:bCs/>
          <w:shd w:val="clear" w:color="auto" w:fill="FFFFFF"/>
        </w:rPr>
        <w:t xml:space="preserve"> </w:t>
      </w:r>
      <w:proofErr w:type="gramStart"/>
      <w:r w:rsidRPr="00F24F42">
        <w:rPr>
          <w:bCs/>
          <w:shd w:val="clear" w:color="auto" w:fill="FFFFFF"/>
        </w:rPr>
        <w:t>и иных участников избирательного процесса в Российской Федерации на 2025–2027 годы» и</w:t>
      </w:r>
      <w:r w:rsidRPr="00F24F42">
        <w:rPr>
          <w:b/>
          <w:bCs/>
          <w:shd w:val="clear" w:color="auto" w:fill="FFFFFF"/>
        </w:rPr>
        <w:t xml:space="preserve"> </w:t>
      </w:r>
      <w:r w:rsidRPr="00F24F42">
        <w:rPr>
          <w:szCs w:val="28"/>
        </w:rPr>
        <w:t xml:space="preserve">№ </w:t>
      </w:r>
      <w:r w:rsidRPr="00F24F42">
        <w:rPr>
          <w:szCs w:val="28"/>
          <w:shd w:val="clear" w:color="auto" w:fill="FFFFFF"/>
        </w:rPr>
        <w:t>191/1493-8</w:t>
      </w:r>
      <w:r w:rsidRPr="00F24F42">
        <w:rPr>
          <w:szCs w:val="28"/>
        </w:rPr>
        <w:t xml:space="preserve"> «</w:t>
      </w:r>
      <w:r w:rsidRPr="00F24F42">
        <w:rPr>
          <w:bCs/>
          <w:shd w:val="clear" w:color="auto" w:fill="FFFFFF"/>
        </w:rPr>
        <w:t xml:space="preserve">О Концепции повышения правовой культуры избирателей в Российской Федерации на </w:t>
      </w:r>
      <w:r w:rsidR="002B4031">
        <w:rPr>
          <w:bCs/>
          <w:shd w:val="clear" w:color="auto" w:fill="FFFFFF"/>
        </w:rPr>
        <w:br/>
      </w:r>
      <w:r w:rsidRPr="00F24F42">
        <w:rPr>
          <w:bCs/>
          <w:shd w:val="clear" w:color="auto" w:fill="FFFFFF"/>
        </w:rPr>
        <w:t>2025–2027 годы»</w:t>
      </w:r>
      <w:r w:rsidR="00B9440E">
        <w:rPr>
          <w:bCs/>
          <w:shd w:val="clear" w:color="auto" w:fill="FFFFFF"/>
        </w:rPr>
        <w:t xml:space="preserve">, постановлением избирательной комиссии Ставропольского края от </w:t>
      </w:r>
      <w:r w:rsidR="00B9440E" w:rsidRPr="00B9440E">
        <w:rPr>
          <w:szCs w:val="28"/>
        </w:rPr>
        <w:t>14 января 2024 г.</w:t>
      </w:r>
      <w:r w:rsidR="00B9440E">
        <w:rPr>
          <w:szCs w:val="28"/>
        </w:rPr>
        <w:t xml:space="preserve"> № </w:t>
      </w:r>
      <w:r w:rsidR="00B9440E" w:rsidRPr="00B9440E">
        <w:t>111/809-7</w:t>
      </w:r>
      <w:r w:rsidR="00B9440E">
        <w:t xml:space="preserve"> «</w:t>
      </w:r>
      <w:r w:rsidR="00B9440E" w:rsidRPr="00B9440E">
        <w:rPr>
          <w:szCs w:val="28"/>
        </w:rPr>
        <w:t>О Плане основных мероприятий по повышению правовой культуры избирателей и обучению организаторов выборов и иных участников избирательного процесса в Ставропольском крае на</w:t>
      </w:r>
      <w:proofErr w:type="gramEnd"/>
      <w:r w:rsidR="00B9440E" w:rsidRPr="00B9440E">
        <w:rPr>
          <w:szCs w:val="28"/>
        </w:rPr>
        <w:t xml:space="preserve"> 2025 год</w:t>
      </w:r>
      <w:r w:rsidR="00B9440E">
        <w:rPr>
          <w:szCs w:val="28"/>
        </w:rPr>
        <w:t>»</w:t>
      </w:r>
      <w:r>
        <w:rPr>
          <w:szCs w:val="28"/>
        </w:rPr>
        <w:t xml:space="preserve">, </w:t>
      </w:r>
      <w:r w:rsidR="00665CC1" w:rsidRPr="00A73D17">
        <w:rPr>
          <w:szCs w:val="28"/>
        </w:rPr>
        <w:t xml:space="preserve">в целях повышения правовой культуры избирателей и обучения организаторов выборов и </w:t>
      </w:r>
      <w:r w:rsidR="00545C7F" w:rsidRPr="00A73D17">
        <w:rPr>
          <w:szCs w:val="28"/>
        </w:rPr>
        <w:t xml:space="preserve">иных участников избирательного процесса, </w:t>
      </w:r>
      <w:r w:rsidR="00F73973" w:rsidRPr="00A73D17">
        <w:rPr>
          <w:szCs w:val="28"/>
        </w:rPr>
        <w:t>территориальная избирательная комиссия Промышленного района города Ставрополя</w:t>
      </w:r>
    </w:p>
    <w:p w:rsidR="00665CC1" w:rsidRPr="00A73D17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A73D17" w:rsidRDefault="00665CC1" w:rsidP="0081202C">
      <w:pPr>
        <w:widowControl w:val="0"/>
        <w:jc w:val="both"/>
        <w:rPr>
          <w:szCs w:val="28"/>
        </w:rPr>
      </w:pPr>
      <w:r w:rsidRPr="00A73D17">
        <w:rPr>
          <w:szCs w:val="28"/>
        </w:rPr>
        <w:t>ПОСТАНОВЛЯЕТ:</w:t>
      </w:r>
    </w:p>
    <w:p w:rsidR="00665CC1" w:rsidRPr="00A73D17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A73D17" w:rsidRDefault="00665CC1" w:rsidP="0081202C">
      <w:pPr>
        <w:pStyle w:val="a6"/>
        <w:widowControl w:val="0"/>
        <w:spacing w:after="0"/>
        <w:ind w:firstLine="720"/>
        <w:jc w:val="both"/>
        <w:rPr>
          <w:szCs w:val="28"/>
        </w:rPr>
      </w:pPr>
      <w:r w:rsidRPr="00A73D17">
        <w:rPr>
          <w:szCs w:val="28"/>
        </w:rPr>
        <w:t xml:space="preserve">1. Утвердить </w:t>
      </w:r>
      <w:r w:rsidR="00106799" w:rsidRPr="00A73D17">
        <w:rPr>
          <w:szCs w:val="28"/>
        </w:rPr>
        <w:t xml:space="preserve">прилагаемый </w:t>
      </w:r>
      <w:r w:rsidRPr="00A73D17">
        <w:rPr>
          <w:szCs w:val="28"/>
        </w:rPr>
        <w:t xml:space="preserve">план основных мероприятий по повышению правовой культуры избирателей  и обучению организаторов выборов и </w:t>
      </w:r>
      <w:r w:rsidR="00545C7F" w:rsidRPr="00A73D17">
        <w:rPr>
          <w:szCs w:val="28"/>
        </w:rPr>
        <w:t xml:space="preserve">иных участников избирательного процесса </w:t>
      </w:r>
      <w:r w:rsidR="008B1FE3" w:rsidRPr="00A73D17">
        <w:rPr>
          <w:szCs w:val="28"/>
        </w:rPr>
        <w:t xml:space="preserve">в </w:t>
      </w:r>
      <w:r w:rsidR="00F73973" w:rsidRPr="00A73D17">
        <w:rPr>
          <w:szCs w:val="28"/>
        </w:rPr>
        <w:t xml:space="preserve">Промышленном районе города Ставрополя </w:t>
      </w:r>
      <w:r w:rsidR="008B1FE3" w:rsidRPr="00A73D17">
        <w:rPr>
          <w:szCs w:val="28"/>
        </w:rPr>
        <w:t>на</w:t>
      </w:r>
      <w:r w:rsidR="008140DB" w:rsidRPr="00A73D17">
        <w:rPr>
          <w:szCs w:val="28"/>
        </w:rPr>
        <w:t xml:space="preserve"> 20</w:t>
      </w:r>
      <w:r w:rsidR="00545C7F" w:rsidRPr="00A73D17">
        <w:rPr>
          <w:szCs w:val="28"/>
        </w:rPr>
        <w:t>2</w:t>
      </w:r>
      <w:r w:rsidR="00F24F42">
        <w:rPr>
          <w:szCs w:val="28"/>
        </w:rPr>
        <w:t>5</w:t>
      </w:r>
      <w:r w:rsidR="008140DB" w:rsidRPr="00A73D17">
        <w:rPr>
          <w:szCs w:val="28"/>
        </w:rPr>
        <w:t xml:space="preserve"> </w:t>
      </w:r>
      <w:r w:rsidRPr="00A73D17">
        <w:rPr>
          <w:szCs w:val="28"/>
        </w:rPr>
        <w:t>год (далее - план).</w:t>
      </w:r>
    </w:p>
    <w:p w:rsidR="00665CC1" w:rsidRPr="00A73D17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 w:rsidRPr="00A73D17">
        <w:rPr>
          <w:szCs w:val="28"/>
        </w:rPr>
        <w:t>2</w:t>
      </w:r>
      <w:r w:rsidR="00665CC1" w:rsidRPr="00A73D17">
        <w:rPr>
          <w:szCs w:val="28"/>
        </w:rPr>
        <w:t>. Направить настоящее постановление в избирательн</w:t>
      </w:r>
      <w:r w:rsidR="00F73973" w:rsidRPr="00A73D17">
        <w:rPr>
          <w:szCs w:val="28"/>
        </w:rPr>
        <w:t>ую</w:t>
      </w:r>
      <w:r w:rsidR="00665CC1" w:rsidRPr="00A73D17">
        <w:rPr>
          <w:szCs w:val="28"/>
        </w:rPr>
        <w:t xml:space="preserve"> комисси</w:t>
      </w:r>
      <w:r w:rsidR="00F73973" w:rsidRPr="00A73D17">
        <w:rPr>
          <w:szCs w:val="28"/>
        </w:rPr>
        <w:t>ю</w:t>
      </w:r>
      <w:r w:rsidR="0081202C" w:rsidRPr="00A73D17">
        <w:rPr>
          <w:szCs w:val="28"/>
        </w:rPr>
        <w:t xml:space="preserve"> Ставропольского края</w:t>
      </w:r>
      <w:r w:rsidR="00665CC1" w:rsidRPr="00A73D17">
        <w:rPr>
          <w:szCs w:val="28"/>
        </w:rPr>
        <w:t>.</w:t>
      </w:r>
    </w:p>
    <w:p w:rsidR="00665CC1" w:rsidRPr="00A73D17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 w:rsidRPr="00A73D17">
        <w:rPr>
          <w:szCs w:val="28"/>
        </w:rPr>
        <w:t>3</w:t>
      </w:r>
      <w:r w:rsidR="00665CC1" w:rsidRPr="00A73D17">
        <w:rPr>
          <w:szCs w:val="28"/>
        </w:rPr>
        <w:t xml:space="preserve">. </w:t>
      </w:r>
      <w:proofErr w:type="gramStart"/>
      <w:r w:rsidR="00665CC1" w:rsidRPr="00A73D17">
        <w:rPr>
          <w:szCs w:val="28"/>
        </w:rPr>
        <w:t>Разместить</w:t>
      </w:r>
      <w:proofErr w:type="gramEnd"/>
      <w:r w:rsidR="00665CC1" w:rsidRPr="00A73D17">
        <w:rPr>
          <w:szCs w:val="28"/>
        </w:rPr>
        <w:t xml:space="preserve"> настоящее постановление на </w:t>
      </w:r>
      <w:r w:rsidR="008B1FE3" w:rsidRPr="00A73D17">
        <w:rPr>
          <w:szCs w:val="28"/>
        </w:rPr>
        <w:t xml:space="preserve">официальном </w:t>
      </w:r>
      <w:r w:rsidR="00665CC1" w:rsidRPr="00A73D17">
        <w:rPr>
          <w:szCs w:val="28"/>
        </w:rPr>
        <w:t xml:space="preserve">сайте </w:t>
      </w:r>
      <w:r w:rsidR="00F73973" w:rsidRPr="00A73D17">
        <w:rPr>
          <w:szCs w:val="28"/>
        </w:rPr>
        <w:t xml:space="preserve">территориальной </w:t>
      </w:r>
      <w:r w:rsidR="00665CC1" w:rsidRPr="00A73D17">
        <w:rPr>
          <w:szCs w:val="28"/>
        </w:rPr>
        <w:t xml:space="preserve">избирательной комиссии </w:t>
      </w:r>
      <w:r w:rsidR="00F73973" w:rsidRPr="00A73D17">
        <w:rPr>
          <w:szCs w:val="28"/>
        </w:rPr>
        <w:t>Промышленного района города Ставрополя</w:t>
      </w:r>
      <w:r w:rsidR="00665CC1" w:rsidRPr="00A73D17">
        <w:rPr>
          <w:szCs w:val="28"/>
        </w:rPr>
        <w:t xml:space="preserve"> в информационно - телекоммуникационной сети «Интернет». </w:t>
      </w:r>
    </w:p>
    <w:p w:rsidR="00665CC1" w:rsidRPr="00A73D17" w:rsidRDefault="00273DCE" w:rsidP="0081202C">
      <w:pPr>
        <w:widowControl w:val="0"/>
        <w:ind w:firstLine="720"/>
        <w:jc w:val="both"/>
        <w:rPr>
          <w:szCs w:val="28"/>
        </w:rPr>
      </w:pPr>
      <w:r w:rsidRPr="00A73D17">
        <w:rPr>
          <w:szCs w:val="28"/>
        </w:rPr>
        <w:t>4</w:t>
      </w:r>
      <w:r w:rsidR="00665CC1" w:rsidRPr="00A73D17">
        <w:rPr>
          <w:szCs w:val="28"/>
        </w:rPr>
        <w:t xml:space="preserve">. </w:t>
      </w:r>
      <w:proofErr w:type="gramStart"/>
      <w:r w:rsidR="00665CC1" w:rsidRPr="00A73D17">
        <w:rPr>
          <w:szCs w:val="28"/>
        </w:rPr>
        <w:t>Контроль за</w:t>
      </w:r>
      <w:proofErr w:type="gramEnd"/>
      <w:r w:rsidR="00665CC1" w:rsidRPr="00A73D17">
        <w:rPr>
          <w:szCs w:val="28"/>
        </w:rPr>
        <w:t xml:space="preserve"> выполнением плана возложить на </w:t>
      </w:r>
      <w:r w:rsidR="00545C7F" w:rsidRPr="00A73D17">
        <w:rPr>
          <w:szCs w:val="28"/>
        </w:rPr>
        <w:t xml:space="preserve">секретаря </w:t>
      </w:r>
      <w:r w:rsidR="00F73973" w:rsidRPr="00A73D17">
        <w:rPr>
          <w:szCs w:val="28"/>
        </w:rPr>
        <w:t xml:space="preserve">территориальной </w:t>
      </w:r>
      <w:r w:rsidR="00665CC1" w:rsidRPr="00A73D17">
        <w:rPr>
          <w:szCs w:val="28"/>
        </w:rPr>
        <w:t xml:space="preserve">избирательной комиссии </w:t>
      </w:r>
      <w:r w:rsidR="00545C7F" w:rsidRPr="00A73D17">
        <w:rPr>
          <w:szCs w:val="28"/>
        </w:rPr>
        <w:t xml:space="preserve">Промышленного района </w:t>
      </w:r>
      <w:r w:rsidR="00F73973" w:rsidRPr="00A73D17">
        <w:rPr>
          <w:szCs w:val="28"/>
        </w:rPr>
        <w:t xml:space="preserve">города Ставрополя </w:t>
      </w:r>
      <w:r w:rsidR="002B4031">
        <w:rPr>
          <w:szCs w:val="28"/>
        </w:rPr>
        <w:br/>
      </w:r>
      <w:proofErr w:type="spellStart"/>
      <w:r w:rsidR="00F24F42">
        <w:rPr>
          <w:szCs w:val="28"/>
        </w:rPr>
        <w:t>Нерушеву</w:t>
      </w:r>
      <w:proofErr w:type="spellEnd"/>
      <w:r w:rsidR="00F24F42">
        <w:rPr>
          <w:szCs w:val="28"/>
        </w:rPr>
        <w:t xml:space="preserve"> Н.С.</w:t>
      </w:r>
      <w:r w:rsidR="00545C7F" w:rsidRPr="00A73D17">
        <w:rPr>
          <w:szCs w:val="28"/>
        </w:rPr>
        <w:t xml:space="preserve"> </w:t>
      </w:r>
    </w:p>
    <w:p w:rsidR="00273DCE" w:rsidRPr="00A73D17" w:rsidRDefault="00273DCE" w:rsidP="00665CC1">
      <w:pPr>
        <w:jc w:val="both"/>
        <w:rPr>
          <w:szCs w:val="28"/>
        </w:rPr>
      </w:pPr>
    </w:p>
    <w:p w:rsidR="002B4031" w:rsidRPr="002B4031" w:rsidRDefault="002B4031" w:rsidP="002B4031">
      <w:pPr>
        <w:autoSpaceDE w:val="0"/>
        <w:autoSpaceDN w:val="0"/>
        <w:spacing w:line="216" w:lineRule="auto"/>
        <w:ind w:right="-2"/>
        <w:rPr>
          <w:szCs w:val="28"/>
        </w:rPr>
      </w:pPr>
      <w:r w:rsidRPr="002B4031">
        <w:rPr>
          <w:szCs w:val="28"/>
        </w:rPr>
        <w:t xml:space="preserve">Председатель </w:t>
      </w:r>
      <w:proofErr w:type="gramStart"/>
      <w:r w:rsidRPr="002B4031">
        <w:rPr>
          <w:szCs w:val="28"/>
        </w:rPr>
        <w:t>территориальной</w:t>
      </w:r>
      <w:proofErr w:type="gramEnd"/>
    </w:p>
    <w:p w:rsidR="002B4031" w:rsidRPr="002B4031" w:rsidRDefault="002B4031" w:rsidP="002B4031">
      <w:pPr>
        <w:autoSpaceDE w:val="0"/>
        <w:autoSpaceDN w:val="0"/>
        <w:spacing w:line="216" w:lineRule="auto"/>
        <w:ind w:right="-2"/>
        <w:rPr>
          <w:szCs w:val="28"/>
        </w:rPr>
      </w:pPr>
      <w:r w:rsidRPr="002B4031">
        <w:rPr>
          <w:szCs w:val="28"/>
        </w:rPr>
        <w:t xml:space="preserve">избирательной комиссии                     </w:t>
      </w:r>
      <w:r w:rsidRPr="002B4031">
        <w:rPr>
          <w:szCs w:val="28"/>
        </w:rPr>
        <w:tab/>
      </w:r>
      <w:r w:rsidRPr="002B4031">
        <w:rPr>
          <w:szCs w:val="28"/>
        </w:rPr>
        <w:tab/>
        <w:t xml:space="preserve">                      С.С. Максименко</w:t>
      </w:r>
    </w:p>
    <w:p w:rsidR="002B4031" w:rsidRPr="002B4031" w:rsidRDefault="002B4031" w:rsidP="002B4031">
      <w:pPr>
        <w:autoSpaceDE w:val="0"/>
        <w:autoSpaceDN w:val="0"/>
        <w:spacing w:line="216" w:lineRule="auto"/>
        <w:ind w:right="-2" w:firstLine="3544"/>
        <w:rPr>
          <w:szCs w:val="28"/>
        </w:rPr>
      </w:pPr>
    </w:p>
    <w:p w:rsidR="002B4031" w:rsidRPr="002B4031" w:rsidRDefault="002B4031" w:rsidP="002B4031">
      <w:pPr>
        <w:autoSpaceDE w:val="0"/>
        <w:autoSpaceDN w:val="0"/>
        <w:spacing w:line="216" w:lineRule="auto"/>
        <w:ind w:right="-2"/>
        <w:rPr>
          <w:szCs w:val="28"/>
        </w:rPr>
      </w:pPr>
      <w:r w:rsidRPr="002B4031">
        <w:rPr>
          <w:szCs w:val="28"/>
        </w:rPr>
        <w:t xml:space="preserve">Секретарь </w:t>
      </w:r>
      <w:proofErr w:type="gramStart"/>
      <w:r w:rsidRPr="002B4031">
        <w:rPr>
          <w:szCs w:val="28"/>
        </w:rPr>
        <w:t>территориальной</w:t>
      </w:r>
      <w:proofErr w:type="gramEnd"/>
    </w:p>
    <w:p w:rsidR="002B4031" w:rsidRPr="002B4031" w:rsidRDefault="002B4031" w:rsidP="002B4031">
      <w:pPr>
        <w:spacing w:line="216" w:lineRule="auto"/>
        <w:rPr>
          <w:b/>
          <w:szCs w:val="28"/>
        </w:rPr>
      </w:pPr>
      <w:r w:rsidRPr="002B4031">
        <w:rPr>
          <w:bCs/>
          <w:szCs w:val="20"/>
        </w:rPr>
        <w:t>избирательной комиссии</w:t>
      </w:r>
      <w:r w:rsidRPr="002B4031">
        <w:rPr>
          <w:szCs w:val="20"/>
        </w:rPr>
        <w:tab/>
      </w:r>
      <w:r w:rsidRPr="002B4031">
        <w:rPr>
          <w:szCs w:val="20"/>
        </w:rPr>
        <w:tab/>
      </w:r>
      <w:r w:rsidRPr="002B4031">
        <w:rPr>
          <w:szCs w:val="20"/>
        </w:rPr>
        <w:tab/>
      </w:r>
      <w:r w:rsidRPr="002B4031">
        <w:rPr>
          <w:szCs w:val="20"/>
        </w:rPr>
        <w:tab/>
      </w:r>
      <w:r w:rsidRPr="002B4031">
        <w:rPr>
          <w:szCs w:val="20"/>
        </w:rPr>
        <w:tab/>
      </w:r>
      <w:r w:rsidRPr="002B4031">
        <w:rPr>
          <w:szCs w:val="20"/>
        </w:rPr>
        <w:tab/>
        <w:t xml:space="preserve">      </w:t>
      </w:r>
      <w:r w:rsidRPr="002B4031">
        <w:rPr>
          <w:bCs/>
          <w:szCs w:val="20"/>
        </w:rPr>
        <w:t>Н.С. Нерушева</w:t>
      </w:r>
    </w:p>
    <w:p w:rsidR="00665CC1" w:rsidRPr="008B1FE3" w:rsidRDefault="00665CC1" w:rsidP="00665CC1">
      <w:pPr>
        <w:tabs>
          <w:tab w:val="left" w:pos="-1701"/>
        </w:tabs>
        <w:ind w:left="5529" w:right="-2"/>
        <w:jc w:val="center"/>
        <w:rPr>
          <w:szCs w:val="28"/>
        </w:rPr>
        <w:sectPr w:rsidR="00665CC1" w:rsidRPr="008B1FE3" w:rsidSect="002B4031">
          <w:headerReference w:type="even" r:id="rId9"/>
          <w:headerReference w:type="default" r:id="rId10"/>
          <w:endnotePr>
            <w:numFmt w:val="decimal"/>
            <w:numStart w:val="0"/>
          </w:endnotePr>
          <w:pgSz w:w="11907" w:h="16840" w:code="9"/>
          <w:pgMar w:top="1134" w:right="567" w:bottom="426" w:left="1276" w:header="709" w:footer="709" w:gutter="0"/>
          <w:pgNumType w:start="1"/>
          <w:cols w:space="720"/>
          <w:titlePg/>
        </w:sectPr>
      </w:pPr>
    </w:p>
    <w:p w:rsidR="00C918A9" w:rsidRPr="00A73D17" w:rsidRDefault="005D1B71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lastRenderedPageBreak/>
        <w:t xml:space="preserve">Утвержден </w:t>
      </w:r>
    </w:p>
    <w:p w:rsidR="00FA22D1" w:rsidRPr="00A73D17" w:rsidRDefault="00C918A9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>п</w:t>
      </w:r>
      <w:r w:rsidR="005D1B71" w:rsidRPr="00A73D17">
        <w:rPr>
          <w:bCs/>
        </w:rPr>
        <w:t>остановлением</w:t>
      </w:r>
      <w:r w:rsidRPr="00A73D17">
        <w:rPr>
          <w:bCs/>
        </w:rPr>
        <w:t xml:space="preserve"> </w:t>
      </w:r>
      <w:proofErr w:type="gramStart"/>
      <w:r w:rsidR="005D1B71" w:rsidRPr="00A73D17">
        <w:rPr>
          <w:bCs/>
        </w:rPr>
        <w:t>территориальной</w:t>
      </w:r>
      <w:proofErr w:type="gramEnd"/>
    </w:p>
    <w:p w:rsidR="00C918A9" w:rsidRPr="00A73D17" w:rsidRDefault="005D1B71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>избирательной комиссии</w:t>
      </w:r>
      <w:r w:rsidR="00C918A9" w:rsidRPr="00A73D17">
        <w:rPr>
          <w:bCs/>
        </w:rPr>
        <w:t xml:space="preserve"> </w:t>
      </w:r>
      <w:r w:rsidRPr="00A73D17">
        <w:rPr>
          <w:bCs/>
        </w:rPr>
        <w:t>Промышленно</w:t>
      </w:r>
      <w:r w:rsidR="00C918A9" w:rsidRPr="00A73D17">
        <w:rPr>
          <w:bCs/>
        </w:rPr>
        <w:t xml:space="preserve">го района города Ставрополя </w:t>
      </w:r>
    </w:p>
    <w:p w:rsidR="005D1B71" w:rsidRDefault="00C918A9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 xml:space="preserve">от </w:t>
      </w:r>
      <w:r w:rsidR="002B4031">
        <w:rPr>
          <w:bCs/>
        </w:rPr>
        <w:t>05.02.2025</w:t>
      </w:r>
      <w:r w:rsidR="005D1B71" w:rsidRPr="00A73D17">
        <w:rPr>
          <w:bCs/>
        </w:rPr>
        <w:t xml:space="preserve"> № </w:t>
      </w:r>
      <w:r w:rsidR="002B4031">
        <w:t>117</w:t>
      </w:r>
      <w:r w:rsidR="00545C7F" w:rsidRPr="00A73D17">
        <w:t>/</w:t>
      </w:r>
      <w:r w:rsidR="002B4031">
        <w:t>818</w:t>
      </w: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  <w:caps/>
        </w:rPr>
      </w:pPr>
    </w:p>
    <w:p w:rsidR="00C95FEC" w:rsidRDefault="00C95FEC" w:rsidP="005D1B71">
      <w:pPr>
        <w:pStyle w:val="a6"/>
        <w:spacing w:after="0" w:line="240" w:lineRule="exact"/>
        <w:ind w:left="9639"/>
        <w:jc w:val="both"/>
        <w:rPr>
          <w:bCs/>
          <w:caps/>
        </w:rPr>
      </w:pPr>
    </w:p>
    <w:p w:rsidR="00C95FEC" w:rsidRPr="00C95FEC" w:rsidRDefault="00C95FEC" w:rsidP="00C95FEC">
      <w:pPr>
        <w:spacing w:line="240" w:lineRule="exact"/>
        <w:jc w:val="center"/>
        <w:rPr>
          <w:szCs w:val="28"/>
        </w:rPr>
      </w:pPr>
      <w:r w:rsidRPr="00C95FEC">
        <w:rPr>
          <w:bCs/>
          <w:caps/>
        </w:rPr>
        <w:t>П</w:t>
      </w:r>
      <w:r w:rsidRPr="00C95FEC">
        <w:rPr>
          <w:bCs/>
        </w:rPr>
        <w:t>лан</w:t>
      </w:r>
      <w:r w:rsidRPr="00C95FEC">
        <w:rPr>
          <w:bCs/>
          <w:caps/>
        </w:rPr>
        <w:t xml:space="preserve"> </w:t>
      </w:r>
      <w:r w:rsidRPr="00C95FEC">
        <w:rPr>
          <w:szCs w:val="28"/>
        </w:rPr>
        <w:t xml:space="preserve">основных мероприятий </w:t>
      </w:r>
    </w:p>
    <w:p w:rsidR="00C95FEC" w:rsidRPr="00C95FEC" w:rsidRDefault="00C95FEC" w:rsidP="00C95FEC">
      <w:pPr>
        <w:spacing w:line="240" w:lineRule="exact"/>
        <w:jc w:val="center"/>
        <w:rPr>
          <w:szCs w:val="28"/>
        </w:rPr>
      </w:pPr>
      <w:r w:rsidRPr="00C95FEC">
        <w:rPr>
          <w:szCs w:val="28"/>
        </w:rPr>
        <w:t xml:space="preserve">по повышению правовой культуры избирателей и обучению организаторов выборов </w:t>
      </w:r>
    </w:p>
    <w:p w:rsidR="00C95FEC" w:rsidRPr="00C95FEC" w:rsidRDefault="00C95FEC" w:rsidP="00C95FEC">
      <w:pPr>
        <w:spacing w:line="240" w:lineRule="exact"/>
        <w:jc w:val="center"/>
        <w:rPr>
          <w:szCs w:val="28"/>
        </w:rPr>
      </w:pPr>
      <w:r w:rsidRPr="00C95FEC">
        <w:rPr>
          <w:szCs w:val="28"/>
        </w:rPr>
        <w:t xml:space="preserve">и иных участников избирательного процесса в </w:t>
      </w:r>
      <w:proofErr w:type="spellStart"/>
      <w:proofErr w:type="gramStart"/>
      <w:r w:rsidRPr="00C95FEC">
        <w:rPr>
          <w:szCs w:val="28"/>
        </w:rPr>
        <w:t>в</w:t>
      </w:r>
      <w:proofErr w:type="spellEnd"/>
      <w:proofErr w:type="gramEnd"/>
      <w:r w:rsidRPr="00C95FEC">
        <w:rPr>
          <w:szCs w:val="28"/>
        </w:rPr>
        <w:t xml:space="preserve"> Промышленном районе города Ставрополя</w:t>
      </w:r>
      <w:r w:rsidRPr="00C95FEC">
        <w:rPr>
          <w:szCs w:val="28"/>
        </w:rPr>
        <w:t xml:space="preserve"> </w:t>
      </w:r>
    </w:p>
    <w:p w:rsidR="00C95FEC" w:rsidRPr="00C95FEC" w:rsidRDefault="00C95FEC" w:rsidP="00C95FEC">
      <w:pPr>
        <w:spacing w:line="240" w:lineRule="exact"/>
        <w:jc w:val="center"/>
        <w:rPr>
          <w:bCs/>
          <w:lang w:val="x-none"/>
        </w:rPr>
      </w:pPr>
      <w:r w:rsidRPr="00C95FEC">
        <w:rPr>
          <w:szCs w:val="28"/>
          <w:lang w:val="x-none"/>
        </w:rPr>
        <w:t>на 202</w:t>
      </w:r>
      <w:r w:rsidRPr="00C95FEC">
        <w:rPr>
          <w:szCs w:val="28"/>
        </w:rPr>
        <w:t>5</w:t>
      </w:r>
      <w:r w:rsidRPr="00C95FEC">
        <w:rPr>
          <w:szCs w:val="28"/>
          <w:lang w:val="x-none"/>
        </w:rPr>
        <w:t xml:space="preserve"> год</w:t>
      </w:r>
    </w:p>
    <w:p w:rsidR="00C95FEC" w:rsidRPr="00C95FEC" w:rsidRDefault="00C95FEC" w:rsidP="00C95FEC">
      <w:pPr>
        <w:spacing w:line="240" w:lineRule="exact"/>
        <w:jc w:val="center"/>
        <w:rPr>
          <w:b/>
          <w:bCs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  <w:gridCol w:w="1843"/>
        <w:gridCol w:w="4678"/>
      </w:tblGrid>
      <w:tr w:rsidR="00C95FEC" w:rsidRPr="00C95FEC" w:rsidTr="001C609A">
        <w:trPr>
          <w:trHeight w:val="274"/>
        </w:trPr>
        <w:tc>
          <w:tcPr>
            <w:tcW w:w="959" w:type="dxa"/>
            <w:vMerge w:val="restart"/>
          </w:tcPr>
          <w:p w:rsidR="00C95FEC" w:rsidRPr="00C95FEC" w:rsidRDefault="00C95FEC" w:rsidP="00C95FEC">
            <w:pPr>
              <w:spacing w:line="204" w:lineRule="auto"/>
              <w:jc w:val="center"/>
              <w:rPr>
                <w:szCs w:val="28"/>
              </w:rPr>
            </w:pPr>
            <w:r w:rsidRPr="00C95FEC">
              <w:rPr>
                <w:b/>
                <w:bCs/>
              </w:rPr>
              <w:t xml:space="preserve">№ </w:t>
            </w:r>
            <w:proofErr w:type="gramStart"/>
            <w:r w:rsidRPr="00C95FEC">
              <w:rPr>
                <w:b/>
                <w:bCs/>
              </w:rPr>
              <w:t>п</w:t>
            </w:r>
            <w:proofErr w:type="gramEnd"/>
            <w:r w:rsidRPr="00C95FEC">
              <w:rPr>
                <w:b/>
                <w:bCs/>
              </w:rPr>
              <w:t>/п</w:t>
            </w:r>
          </w:p>
        </w:tc>
        <w:tc>
          <w:tcPr>
            <w:tcW w:w="8363" w:type="dxa"/>
            <w:vMerge w:val="restart"/>
          </w:tcPr>
          <w:p w:rsidR="00C95FEC" w:rsidRPr="00C95FEC" w:rsidRDefault="00C95FEC" w:rsidP="00C95FEC">
            <w:pPr>
              <w:widowControl w:val="0"/>
              <w:spacing w:after="120" w:line="204" w:lineRule="auto"/>
              <w:ind w:firstLine="720"/>
              <w:jc w:val="center"/>
              <w:rPr>
                <w:szCs w:val="28"/>
              </w:rPr>
            </w:pPr>
            <w:r w:rsidRPr="00C95FEC">
              <w:rPr>
                <w:b/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C95FEC" w:rsidRPr="00C95FEC" w:rsidRDefault="00C95FEC" w:rsidP="00C95FEC">
            <w:pPr>
              <w:spacing w:line="204" w:lineRule="auto"/>
              <w:jc w:val="center"/>
            </w:pPr>
            <w:r w:rsidRPr="00C95FEC">
              <w:rPr>
                <w:b/>
                <w:bCs/>
                <w:kern w:val="2"/>
                <w:szCs w:val="28"/>
              </w:rPr>
              <w:t>Срок исполнения</w:t>
            </w:r>
          </w:p>
        </w:tc>
        <w:tc>
          <w:tcPr>
            <w:tcW w:w="4678" w:type="dxa"/>
            <w:vMerge w:val="restart"/>
          </w:tcPr>
          <w:p w:rsidR="00C95FEC" w:rsidRPr="00C95FEC" w:rsidRDefault="00C95FEC" w:rsidP="00C95FEC">
            <w:pPr>
              <w:spacing w:line="204" w:lineRule="auto"/>
              <w:jc w:val="center"/>
              <w:rPr>
                <w:b/>
                <w:bCs/>
                <w:kern w:val="2"/>
                <w:szCs w:val="28"/>
              </w:rPr>
            </w:pPr>
            <w:r w:rsidRPr="00C95FEC">
              <w:rPr>
                <w:b/>
                <w:bCs/>
                <w:kern w:val="2"/>
                <w:szCs w:val="28"/>
              </w:rPr>
              <w:t xml:space="preserve">Исполнители  </w:t>
            </w:r>
          </w:p>
        </w:tc>
      </w:tr>
      <w:tr w:rsidR="00C95FEC" w:rsidRPr="00C95FEC" w:rsidTr="001C609A">
        <w:trPr>
          <w:trHeight w:val="274"/>
        </w:trPr>
        <w:tc>
          <w:tcPr>
            <w:tcW w:w="959" w:type="dxa"/>
            <w:vMerge/>
          </w:tcPr>
          <w:p w:rsidR="00C95FEC" w:rsidRPr="00C95FEC" w:rsidRDefault="00C95FEC" w:rsidP="00C95FEC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8363" w:type="dxa"/>
            <w:vMerge/>
          </w:tcPr>
          <w:p w:rsidR="00C95FEC" w:rsidRPr="00C95FEC" w:rsidRDefault="00C95FEC" w:rsidP="00C95FEC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95FEC" w:rsidRPr="00C95FEC" w:rsidRDefault="00C95FEC" w:rsidP="00C95FEC">
            <w:pPr>
              <w:spacing w:line="204" w:lineRule="auto"/>
              <w:jc w:val="center"/>
            </w:pPr>
          </w:p>
        </w:tc>
        <w:tc>
          <w:tcPr>
            <w:tcW w:w="4678" w:type="dxa"/>
            <w:vMerge/>
          </w:tcPr>
          <w:p w:rsidR="00C95FEC" w:rsidRPr="00C95FEC" w:rsidRDefault="00C95FEC" w:rsidP="00C95FEC">
            <w:pPr>
              <w:spacing w:line="204" w:lineRule="auto"/>
              <w:jc w:val="center"/>
            </w:pPr>
          </w:p>
        </w:tc>
      </w:tr>
    </w:tbl>
    <w:p w:rsidR="00C95FEC" w:rsidRPr="00C95FEC" w:rsidRDefault="00C95FEC" w:rsidP="00C95FEC">
      <w:pPr>
        <w:rPr>
          <w:sz w:val="2"/>
          <w:szCs w:val="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363"/>
        <w:gridCol w:w="1843"/>
        <w:gridCol w:w="4677"/>
      </w:tblGrid>
      <w:tr w:rsidR="00C95FEC" w:rsidRPr="00C95FEC" w:rsidTr="001C609A">
        <w:trPr>
          <w:cantSplit/>
          <w:trHeight w:val="20"/>
          <w:tblHeader/>
        </w:trPr>
        <w:tc>
          <w:tcPr>
            <w:tcW w:w="959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  <w:r w:rsidRPr="00C95FEC">
              <w:rPr>
                <w:b/>
                <w:szCs w:val="28"/>
              </w:rPr>
              <w:t>1</w:t>
            </w: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  <w:r w:rsidRPr="00C95FEC">
              <w:rPr>
                <w:b/>
                <w:szCs w:val="28"/>
              </w:rPr>
              <w:t>2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  <w:r w:rsidRPr="00C95FEC">
              <w:rPr>
                <w:b/>
                <w:szCs w:val="28"/>
              </w:rPr>
              <w:t>3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  <w:r w:rsidRPr="00C95FEC">
              <w:rPr>
                <w:b/>
                <w:szCs w:val="28"/>
              </w:rPr>
              <w:t>4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15842" w:type="dxa"/>
            <w:gridSpan w:val="4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</w:p>
          <w:p w:rsidR="00C95FEC" w:rsidRPr="00C95FEC" w:rsidRDefault="00C95FEC" w:rsidP="00C95FEC">
            <w:pPr>
              <w:spacing w:line="240" w:lineRule="exact"/>
              <w:jc w:val="center"/>
              <w:rPr>
                <w:b/>
                <w:szCs w:val="28"/>
              </w:rPr>
            </w:pPr>
            <w:r w:rsidRPr="00C95FEC">
              <w:rPr>
                <w:b/>
                <w:szCs w:val="28"/>
              </w:rPr>
              <w:t>1. Организация обучения организаторов выборов и иных участников избирательного процесса</w:t>
            </w:r>
          </w:p>
          <w:p w:rsidR="00C95FEC" w:rsidRPr="00C95FEC" w:rsidRDefault="00C95FEC" w:rsidP="00C95FEC">
            <w:pPr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192" w:lineRule="auto"/>
              <w:jc w:val="both"/>
              <w:rPr>
                <w:szCs w:val="28"/>
                <w:lang w:eastAsia="en-US"/>
              </w:rPr>
            </w:pPr>
            <w:proofErr w:type="gramStart"/>
            <w:r w:rsidRPr="00C95FEC">
              <w:rPr>
                <w:szCs w:val="28"/>
                <w:lang w:eastAsia="en-US"/>
              </w:rPr>
              <w:t xml:space="preserve">Участие в тематических дистанционных (в режиме видеоконференции, интернет-трансляций учебных занятий и </w:t>
            </w:r>
            <w:proofErr w:type="spellStart"/>
            <w:r w:rsidRPr="00C95FEC">
              <w:rPr>
                <w:szCs w:val="28"/>
                <w:lang w:eastAsia="en-US"/>
              </w:rPr>
              <w:t>вебинаров</w:t>
            </w:r>
            <w:proofErr w:type="spellEnd"/>
            <w:r w:rsidRPr="00C95FEC">
              <w:rPr>
                <w:szCs w:val="28"/>
                <w:lang w:eastAsia="en-US"/>
              </w:rPr>
              <w:t>) занятиях по вопросам организации и проведения выборов в единый день голосования, проводимых Центральной избирательной комиссией Российской Федерации и федеральным казенным учреждением «Российский центр обучения избирательным технологиям при Центральной избирательной комиссии Российской Федерации» для организаторов выборов</w:t>
            </w:r>
            <w:proofErr w:type="gramEnd"/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по отдельному плану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территориальные избирательные комиссии (далее - ТИК)</w:t>
            </w:r>
          </w:p>
        </w:tc>
      </w:tr>
      <w:tr w:rsidR="00C95FEC" w:rsidRPr="00C95FEC" w:rsidTr="001C609A">
        <w:trPr>
          <w:cantSplit/>
          <w:trHeight w:val="583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widowControl w:val="0"/>
              <w:spacing w:line="192" w:lineRule="auto"/>
              <w:jc w:val="both"/>
              <w:rPr>
                <w:szCs w:val="28"/>
              </w:rPr>
            </w:pPr>
            <w:r w:rsidRPr="00C95FEC">
              <w:rPr>
                <w:szCs w:val="28"/>
              </w:rPr>
              <w:t>Обучение членов нижестоящих участковых избирательных комиссий и резерва составов нижестоящих участковых избирательных комиссий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по отдельным планам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widowControl w:val="0"/>
              <w:spacing w:line="192" w:lineRule="auto"/>
              <w:jc w:val="both"/>
              <w:rPr>
                <w:rFonts w:eastAsia="Calibri"/>
                <w:kern w:val="2"/>
                <w:szCs w:val="28"/>
                <w:highlight w:val="red"/>
                <w:lang w:val="x-none" w:eastAsia="en-US"/>
              </w:rPr>
            </w:pPr>
            <w:r w:rsidRPr="00C95FEC">
              <w:rPr>
                <w:szCs w:val="28"/>
              </w:rPr>
              <w:t xml:space="preserve">Обучение членов территориальных и участковых избирательных комиссий по вопросам организации и проведения выборов </w:t>
            </w:r>
            <w:r w:rsidRPr="00C95FEC">
              <w:rPr>
                <w:rFonts w:eastAsia="Calibri"/>
                <w:kern w:val="2"/>
                <w:szCs w:val="28"/>
                <w:lang w:val="x-none" w:eastAsia="en-US"/>
              </w:rPr>
              <w:t xml:space="preserve">Президента </w:t>
            </w:r>
            <w:r w:rsidRPr="00C95FEC">
              <w:rPr>
                <w:rFonts w:eastAsia="Calibri"/>
                <w:kern w:val="2"/>
                <w:szCs w:val="28"/>
                <w:lang w:eastAsia="en-US"/>
              </w:rPr>
              <w:t>Р</w:t>
            </w:r>
            <w:proofErr w:type="spellStart"/>
            <w:r w:rsidRPr="00C95FEC">
              <w:rPr>
                <w:rFonts w:eastAsia="Calibri"/>
                <w:kern w:val="2"/>
                <w:szCs w:val="28"/>
                <w:lang w:val="x-none" w:eastAsia="en-US"/>
              </w:rPr>
              <w:t>оссийской</w:t>
            </w:r>
            <w:proofErr w:type="spellEnd"/>
            <w:r w:rsidRPr="00C95FEC">
              <w:rPr>
                <w:rFonts w:eastAsia="Calibri"/>
                <w:kern w:val="2"/>
                <w:szCs w:val="28"/>
                <w:lang w:val="x-none" w:eastAsia="en-US"/>
              </w:rPr>
              <w:t xml:space="preserve"> Федерации, </w:t>
            </w:r>
            <w:r w:rsidRPr="00C95FEC">
              <w:rPr>
                <w:szCs w:val="28"/>
                <w:lang w:val="x-none"/>
              </w:rPr>
              <w:t xml:space="preserve">депутатов Государственной Думы Федерального Собрания Российской Федерации, </w:t>
            </w:r>
            <w:r w:rsidRPr="00C95FEC">
              <w:rPr>
                <w:rFonts w:eastAsia="Calibri"/>
                <w:kern w:val="2"/>
                <w:szCs w:val="28"/>
                <w:lang w:val="x-none" w:eastAsia="en-US"/>
              </w:rPr>
              <w:t>Губернатора Ставропольского края</w:t>
            </w:r>
            <w:r w:rsidRPr="00C95FEC">
              <w:rPr>
                <w:rFonts w:eastAsia="Calibri"/>
                <w:kern w:val="2"/>
                <w:szCs w:val="28"/>
                <w:lang w:eastAsia="en-US"/>
              </w:rPr>
              <w:t xml:space="preserve">, </w:t>
            </w:r>
            <w:r w:rsidRPr="00C95FEC">
              <w:rPr>
                <w:szCs w:val="28"/>
                <w:lang w:val="x-none"/>
              </w:rPr>
              <w:t>депутатов Думы Ставропольского края</w:t>
            </w:r>
            <w:r w:rsidRPr="00C95FEC">
              <w:rPr>
                <w:szCs w:val="28"/>
              </w:rPr>
              <w:t xml:space="preserve">, а также </w:t>
            </w:r>
            <w:r w:rsidRPr="00C95FEC">
              <w:rPr>
                <w:rFonts w:eastAsia="Calibri"/>
                <w:kern w:val="2"/>
                <w:szCs w:val="28"/>
                <w:lang w:val="x-none" w:eastAsia="en-US"/>
              </w:rPr>
              <w:t>в органы местного самоуправления</w:t>
            </w:r>
            <w:r w:rsidRPr="00C95FEC">
              <w:rPr>
                <w:rFonts w:eastAsia="Calibri"/>
                <w:szCs w:val="28"/>
                <w:lang w:val="x-none" w:eastAsia="en-US"/>
              </w:rPr>
              <w:t xml:space="preserve"> муниципальных образований Ставропольского края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по отдельному плану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1"/>
              </w:numPr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widowControl w:val="0"/>
              <w:spacing w:line="192" w:lineRule="auto"/>
              <w:jc w:val="both"/>
              <w:rPr>
                <w:szCs w:val="28"/>
              </w:rPr>
            </w:pPr>
            <w:r w:rsidRPr="00C95FEC">
              <w:rPr>
                <w:szCs w:val="28"/>
              </w:rPr>
              <w:t>Организация и проведение информационно-обучающих мероприятий с иными участниками избирательного процесса, в том числе с наблюдателями, представителями средств массовой информации, представителями избирательных объединений, волонтерами, сотрудниками правоохранительных органов, МЧС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по отдельному плану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192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216" w:lineRule="auto"/>
              <w:jc w:val="both"/>
              <w:rPr>
                <w:szCs w:val="28"/>
              </w:rPr>
            </w:pPr>
            <w:proofErr w:type="gramStart"/>
            <w:r w:rsidRPr="00C95FEC">
              <w:rPr>
                <w:szCs w:val="28"/>
              </w:rPr>
              <w:t>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Регламентом использования Государственной автоматизированной системы Российской Федерации «Выборы» для решения задач, связанных с формированием участковых избирательных комиссий, резерва составов участковых комиссий, назначением нового члена участковой избирательной комиссии из резерва составов участковых комиссий, обучением членов участковых избирательных комиссий, резерва составов участковых</w:t>
            </w:r>
            <w:proofErr w:type="gramEnd"/>
            <w:r w:rsidRPr="00C95FEC">
              <w:rPr>
                <w:szCs w:val="28"/>
              </w:rPr>
              <w:t xml:space="preserve"> комиссий, утвержденным постановлением Центральной избирательной комиссии Российской Федерации от 26 декабря 2012 г.                              № 155/1158-6</w:t>
            </w:r>
          </w:p>
          <w:p w:rsidR="00C95FEC" w:rsidRPr="00C95FEC" w:rsidRDefault="00C95FEC" w:rsidP="00C95FEC">
            <w:pPr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C95FEC" w:rsidRPr="00C95FEC" w:rsidRDefault="00C95FEC" w:rsidP="00C95FEC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в течение</w:t>
            </w:r>
          </w:p>
          <w:p w:rsidR="00C95FEC" w:rsidRPr="00C95FEC" w:rsidRDefault="00C95FEC" w:rsidP="00C95FEC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ТИК,</w:t>
            </w:r>
          </w:p>
          <w:p w:rsidR="00C95FEC" w:rsidRPr="00C95FEC" w:rsidRDefault="00C95FEC" w:rsidP="00C95FEC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системные администраторы 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15842" w:type="dxa"/>
            <w:gridSpan w:val="4"/>
          </w:tcPr>
          <w:p w:rsidR="00C95FEC" w:rsidRPr="00C95FEC" w:rsidRDefault="00C95FEC" w:rsidP="00C95FEC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kern w:val="2"/>
                <w:szCs w:val="28"/>
              </w:rPr>
            </w:pPr>
          </w:p>
          <w:p w:rsidR="00C95FEC" w:rsidRPr="00C95FEC" w:rsidRDefault="00C95FEC" w:rsidP="00C95FEC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bCs/>
                <w:szCs w:val="28"/>
              </w:rPr>
            </w:pPr>
            <w:r w:rsidRPr="00C95FEC">
              <w:rPr>
                <w:b/>
                <w:kern w:val="2"/>
                <w:szCs w:val="28"/>
              </w:rPr>
              <w:t xml:space="preserve">2. Повышение правовой культуры избирателей и иных </w:t>
            </w:r>
            <w:r w:rsidRPr="00C95FEC">
              <w:rPr>
                <w:b/>
                <w:bCs/>
                <w:szCs w:val="28"/>
              </w:rPr>
              <w:t>участников избирательного процесса</w:t>
            </w:r>
          </w:p>
          <w:p w:rsidR="00C95FEC" w:rsidRPr="00C95FEC" w:rsidRDefault="00C95FEC" w:rsidP="00C95FEC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216" w:lineRule="auto"/>
              <w:jc w:val="both"/>
              <w:rPr>
                <w:szCs w:val="28"/>
              </w:rPr>
            </w:pPr>
            <w:r w:rsidRPr="00C95FEC">
              <w:rPr>
                <w:szCs w:val="28"/>
              </w:rPr>
              <w:t>Проведение мероприятий в рамках Дня молодого избирателя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keepNext/>
              <w:spacing w:line="216" w:lineRule="auto"/>
              <w:jc w:val="center"/>
              <w:outlineLvl w:val="3"/>
              <w:rPr>
                <w:noProof/>
                <w:szCs w:val="28"/>
                <w:highlight w:val="yellow"/>
              </w:rPr>
            </w:pPr>
            <w:r w:rsidRPr="00C95FEC">
              <w:rPr>
                <w:noProof/>
                <w:szCs w:val="28"/>
              </w:rPr>
              <w:t>по отдельному плану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  <w:p w:rsidR="00C95FEC" w:rsidRPr="00C95FEC" w:rsidRDefault="00C95FEC" w:rsidP="00C95FEC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Default="00C95FEC" w:rsidP="00DC5E4D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Проведение к</w:t>
            </w:r>
            <w:r w:rsidRPr="00E0544F">
              <w:rPr>
                <w:rFonts w:eastAsia="Calibri"/>
                <w:szCs w:val="28"/>
              </w:rPr>
              <w:t>нижны</w:t>
            </w:r>
            <w:r>
              <w:rPr>
                <w:rFonts w:eastAsia="Calibri"/>
                <w:szCs w:val="28"/>
              </w:rPr>
              <w:t>х</w:t>
            </w:r>
            <w:r w:rsidRPr="00E0544F">
              <w:rPr>
                <w:rFonts w:eastAsia="Calibri"/>
                <w:szCs w:val="28"/>
              </w:rPr>
              <w:t xml:space="preserve"> выстав</w:t>
            </w:r>
            <w:r>
              <w:rPr>
                <w:rFonts w:eastAsia="Calibri"/>
                <w:szCs w:val="28"/>
              </w:rPr>
              <w:t>ок дл</w:t>
            </w:r>
            <w:r>
              <w:rPr>
                <w:rFonts w:eastAsia="Calibri"/>
                <w:szCs w:val="28"/>
              </w:rPr>
              <w:t>я молодых и будущих избирателей</w:t>
            </w:r>
            <w:r w:rsidR="00DC5E4D">
              <w:rPr>
                <w:rFonts w:eastAsia="Calibri"/>
                <w:szCs w:val="28"/>
              </w:rPr>
              <w:t xml:space="preserve"> ко дню Конституции РФ</w:t>
            </w:r>
          </w:p>
        </w:tc>
        <w:tc>
          <w:tcPr>
            <w:tcW w:w="1843" w:type="dxa"/>
          </w:tcPr>
          <w:p w:rsidR="00C95FEC" w:rsidRDefault="00DC5E4D" w:rsidP="00DC5E4D">
            <w:pPr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9-12 декабря </w:t>
            </w:r>
          </w:p>
        </w:tc>
        <w:tc>
          <w:tcPr>
            <w:tcW w:w="4677" w:type="dxa"/>
          </w:tcPr>
          <w:p w:rsidR="00C95FEC" w:rsidRDefault="00C95FEC" w:rsidP="00C95FEC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216" w:lineRule="auto"/>
              <w:jc w:val="both"/>
              <w:rPr>
                <w:szCs w:val="28"/>
              </w:rPr>
            </w:pPr>
            <w:r w:rsidRPr="00C95FEC">
              <w:rPr>
                <w:szCs w:val="28"/>
              </w:rPr>
              <w:t>Организация и проведение регионального этапа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spacing w:line="216" w:lineRule="auto"/>
              <w:jc w:val="center"/>
              <w:rPr>
                <w:bCs/>
                <w:szCs w:val="28"/>
              </w:rPr>
            </w:pPr>
            <w:r w:rsidRPr="00C95FEC">
              <w:rPr>
                <w:bCs/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</w:t>
            </w:r>
          </w:p>
        </w:tc>
      </w:tr>
      <w:tr w:rsidR="00C95FEC" w:rsidRPr="00C95FEC" w:rsidTr="001C609A">
        <w:trPr>
          <w:cantSplit/>
          <w:trHeight w:val="20"/>
        </w:trPr>
        <w:tc>
          <w:tcPr>
            <w:tcW w:w="959" w:type="dxa"/>
          </w:tcPr>
          <w:p w:rsidR="00C95FEC" w:rsidRPr="00C95FEC" w:rsidRDefault="00C95FEC" w:rsidP="00C95FEC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C95FEC" w:rsidRPr="00C95FEC" w:rsidRDefault="00C95FEC" w:rsidP="00C95FEC">
            <w:pPr>
              <w:spacing w:line="216" w:lineRule="auto"/>
              <w:jc w:val="both"/>
              <w:rPr>
                <w:szCs w:val="28"/>
              </w:rPr>
            </w:pPr>
            <w:r w:rsidRPr="00C95FEC">
              <w:rPr>
                <w:szCs w:val="28"/>
              </w:rPr>
              <w:t>Проведение совместных мероприятий с волонтерскими организациями и региональными и территориальными отделениями общероссийских общественных организаций инвалидов с целью повышения правовой культуры избирателей, являющихся инвалидами</w:t>
            </w:r>
          </w:p>
        </w:tc>
        <w:tc>
          <w:tcPr>
            <w:tcW w:w="1843" w:type="dxa"/>
          </w:tcPr>
          <w:p w:rsidR="00C95FEC" w:rsidRPr="00C95FEC" w:rsidRDefault="00C95FEC" w:rsidP="00C95FEC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C95FEC" w:rsidRPr="00C95FEC" w:rsidRDefault="00C95FEC" w:rsidP="00C95FEC">
            <w:pPr>
              <w:spacing w:line="216" w:lineRule="auto"/>
              <w:jc w:val="center"/>
              <w:rPr>
                <w:szCs w:val="28"/>
              </w:rPr>
            </w:pPr>
            <w:r w:rsidRPr="00C95FEC">
              <w:rPr>
                <w:szCs w:val="28"/>
              </w:rPr>
              <w:t>ТИК</w:t>
            </w:r>
          </w:p>
        </w:tc>
      </w:tr>
    </w:tbl>
    <w:p w:rsidR="00C95FEC" w:rsidRPr="00C95FEC" w:rsidRDefault="00C95FEC" w:rsidP="00C95FEC">
      <w:r w:rsidRPr="00C95FEC">
        <w:br w:type="page"/>
      </w:r>
    </w:p>
    <w:p w:rsidR="00BF0F7E" w:rsidRPr="002F4868" w:rsidRDefault="00BF0F7E" w:rsidP="00E0544F">
      <w:pPr>
        <w:spacing w:line="240" w:lineRule="exact"/>
      </w:pPr>
      <w:bookmarkStart w:id="0" w:name="_GoBack"/>
      <w:bookmarkEnd w:id="0"/>
    </w:p>
    <w:p w:rsidR="003D3ED3" w:rsidRPr="002F4868" w:rsidRDefault="003D3ED3" w:rsidP="00E0544F">
      <w:pPr>
        <w:spacing w:line="240" w:lineRule="exact"/>
        <w:sectPr w:rsidR="003D3ED3" w:rsidRPr="002F4868" w:rsidSect="000003FD">
          <w:endnotePr>
            <w:numFmt w:val="decimal"/>
            <w:numStart w:val="0"/>
          </w:endnotePr>
          <w:pgSz w:w="16840" w:h="11907" w:orient="landscape" w:code="9"/>
          <w:pgMar w:top="1418" w:right="851" w:bottom="851" w:left="851" w:header="709" w:footer="709" w:gutter="0"/>
          <w:pgNumType w:start="1"/>
          <w:cols w:space="720"/>
          <w:titlePg/>
        </w:sectPr>
      </w:pPr>
    </w:p>
    <w:p w:rsidR="003D3ED3" w:rsidRPr="002F4868" w:rsidRDefault="003D3ED3" w:rsidP="00762E38">
      <w:pPr>
        <w:spacing w:line="240" w:lineRule="exact"/>
        <w:rPr>
          <w:szCs w:val="28"/>
        </w:rPr>
      </w:pPr>
    </w:p>
    <w:sectPr w:rsidR="003D3ED3" w:rsidRPr="002F4868" w:rsidSect="003D3ED3">
      <w:endnotePr>
        <w:numFmt w:val="decimal"/>
        <w:numStart w:val="0"/>
      </w:endnotePr>
      <w:pgSz w:w="11907" w:h="16840" w:code="9"/>
      <w:pgMar w:top="851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A6" w:rsidRDefault="00501CA6" w:rsidP="0019142B">
      <w:r>
        <w:separator/>
      </w:r>
    </w:p>
  </w:endnote>
  <w:endnote w:type="continuationSeparator" w:id="0">
    <w:p w:rsidR="00501CA6" w:rsidRDefault="00501CA6" w:rsidP="001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A6" w:rsidRDefault="00501CA6" w:rsidP="0019142B">
      <w:r>
        <w:separator/>
      </w:r>
    </w:p>
  </w:footnote>
  <w:footnote w:type="continuationSeparator" w:id="0">
    <w:p w:rsidR="00501CA6" w:rsidRDefault="00501CA6" w:rsidP="0019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D87">
      <w:rPr>
        <w:rStyle w:val="a8"/>
        <w:noProof/>
      </w:rPr>
      <w:t>9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0DA0">
      <w:rPr>
        <w:rStyle w:val="a8"/>
        <w:noProof/>
      </w:rPr>
      <w:t>2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C22AC"/>
    <w:multiLevelType w:val="hybridMultilevel"/>
    <w:tmpl w:val="B3A2E938"/>
    <w:lvl w:ilvl="0" w:tplc="AA9E2264">
      <w:start w:val="5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2B"/>
    <w:rsid w:val="000003FD"/>
    <w:rsid w:val="00024330"/>
    <w:rsid w:val="00036580"/>
    <w:rsid w:val="00084F65"/>
    <w:rsid w:val="000C1157"/>
    <w:rsid w:val="000C45DE"/>
    <w:rsid w:val="00106799"/>
    <w:rsid w:val="00112C85"/>
    <w:rsid w:val="001318E7"/>
    <w:rsid w:val="00156850"/>
    <w:rsid w:val="00171625"/>
    <w:rsid w:val="00172422"/>
    <w:rsid w:val="00184760"/>
    <w:rsid w:val="0019142B"/>
    <w:rsid w:val="001A0D44"/>
    <w:rsid w:val="001A6D99"/>
    <w:rsid w:val="001C7C11"/>
    <w:rsid w:val="001D4CD3"/>
    <w:rsid w:val="001D5896"/>
    <w:rsid w:val="001D7D49"/>
    <w:rsid w:val="001E29C7"/>
    <w:rsid w:val="00214834"/>
    <w:rsid w:val="00215D5B"/>
    <w:rsid w:val="00226109"/>
    <w:rsid w:val="00251B30"/>
    <w:rsid w:val="00273DCE"/>
    <w:rsid w:val="00273FE2"/>
    <w:rsid w:val="00283AA5"/>
    <w:rsid w:val="002B4031"/>
    <w:rsid w:val="002C79DD"/>
    <w:rsid w:val="002F4868"/>
    <w:rsid w:val="002F6AB1"/>
    <w:rsid w:val="0030274B"/>
    <w:rsid w:val="00306083"/>
    <w:rsid w:val="0032327C"/>
    <w:rsid w:val="00323E12"/>
    <w:rsid w:val="00355C44"/>
    <w:rsid w:val="00355DA0"/>
    <w:rsid w:val="00357AF1"/>
    <w:rsid w:val="003806AC"/>
    <w:rsid w:val="00383E68"/>
    <w:rsid w:val="00390262"/>
    <w:rsid w:val="00396578"/>
    <w:rsid w:val="003A3718"/>
    <w:rsid w:val="003B1644"/>
    <w:rsid w:val="003B3A50"/>
    <w:rsid w:val="003D3ED3"/>
    <w:rsid w:val="00446949"/>
    <w:rsid w:val="00456628"/>
    <w:rsid w:val="00462BD5"/>
    <w:rsid w:val="00464775"/>
    <w:rsid w:val="00465AFA"/>
    <w:rsid w:val="0047211A"/>
    <w:rsid w:val="00473B8F"/>
    <w:rsid w:val="00482956"/>
    <w:rsid w:val="0048315D"/>
    <w:rsid w:val="00490841"/>
    <w:rsid w:val="004A6F0C"/>
    <w:rsid w:val="004B48D1"/>
    <w:rsid w:val="004C4169"/>
    <w:rsid w:val="004C5826"/>
    <w:rsid w:val="004C6D3A"/>
    <w:rsid w:val="004D426F"/>
    <w:rsid w:val="00501CA6"/>
    <w:rsid w:val="00510E93"/>
    <w:rsid w:val="00545C7F"/>
    <w:rsid w:val="005A0974"/>
    <w:rsid w:val="005A706C"/>
    <w:rsid w:val="005B3A73"/>
    <w:rsid w:val="005D1B71"/>
    <w:rsid w:val="005E5933"/>
    <w:rsid w:val="006059AB"/>
    <w:rsid w:val="006105FE"/>
    <w:rsid w:val="00617EF0"/>
    <w:rsid w:val="00661D52"/>
    <w:rsid w:val="00665CC1"/>
    <w:rsid w:val="00670E04"/>
    <w:rsid w:val="006B1BF6"/>
    <w:rsid w:val="006C04F2"/>
    <w:rsid w:val="006D53D4"/>
    <w:rsid w:val="006E2FE7"/>
    <w:rsid w:val="006E5991"/>
    <w:rsid w:val="006E7D58"/>
    <w:rsid w:val="00700428"/>
    <w:rsid w:val="0071681B"/>
    <w:rsid w:val="00720398"/>
    <w:rsid w:val="00753112"/>
    <w:rsid w:val="00762E38"/>
    <w:rsid w:val="007644BA"/>
    <w:rsid w:val="00771350"/>
    <w:rsid w:val="007765C1"/>
    <w:rsid w:val="00782D58"/>
    <w:rsid w:val="00796F6D"/>
    <w:rsid w:val="007C093F"/>
    <w:rsid w:val="007C3607"/>
    <w:rsid w:val="007E5A7A"/>
    <w:rsid w:val="007F6074"/>
    <w:rsid w:val="00807582"/>
    <w:rsid w:val="0081202C"/>
    <w:rsid w:val="008140DB"/>
    <w:rsid w:val="00816BDD"/>
    <w:rsid w:val="00832A38"/>
    <w:rsid w:val="00834BEE"/>
    <w:rsid w:val="008664B2"/>
    <w:rsid w:val="00884BAA"/>
    <w:rsid w:val="00891707"/>
    <w:rsid w:val="00897C02"/>
    <w:rsid w:val="008B1FE3"/>
    <w:rsid w:val="008B6757"/>
    <w:rsid w:val="008C32E3"/>
    <w:rsid w:val="008C44E2"/>
    <w:rsid w:val="008D3864"/>
    <w:rsid w:val="008D426D"/>
    <w:rsid w:val="008D7683"/>
    <w:rsid w:val="0091690A"/>
    <w:rsid w:val="00917EFC"/>
    <w:rsid w:val="00920B86"/>
    <w:rsid w:val="0093572C"/>
    <w:rsid w:val="009432F3"/>
    <w:rsid w:val="0095552A"/>
    <w:rsid w:val="00964B16"/>
    <w:rsid w:val="009672FA"/>
    <w:rsid w:val="0097518A"/>
    <w:rsid w:val="00976EC4"/>
    <w:rsid w:val="009838C1"/>
    <w:rsid w:val="009D31AC"/>
    <w:rsid w:val="009E3697"/>
    <w:rsid w:val="009E444E"/>
    <w:rsid w:val="009F4158"/>
    <w:rsid w:val="00A14A46"/>
    <w:rsid w:val="00A22612"/>
    <w:rsid w:val="00A3592A"/>
    <w:rsid w:val="00A44A4C"/>
    <w:rsid w:val="00A65294"/>
    <w:rsid w:val="00A73D17"/>
    <w:rsid w:val="00AA1025"/>
    <w:rsid w:val="00AD0C83"/>
    <w:rsid w:val="00AF259D"/>
    <w:rsid w:val="00B075C0"/>
    <w:rsid w:val="00B07D0F"/>
    <w:rsid w:val="00B07DA8"/>
    <w:rsid w:val="00B102DC"/>
    <w:rsid w:val="00B216F4"/>
    <w:rsid w:val="00B2723E"/>
    <w:rsid w:val="00B32D03"/>
    <w:rsid w:val="00B51E81"/>
    <w:rsid w:val="00B67758"/>
    <w:rsid w:val="00B9440E"/>
    <w:rsid w:val="00BB53D4"/>
    <w:rsid w:val="00BD4DF2"/>
    <w:rsid w:val="00BF0F7E"/>
    <w:rsid w:val="00C24BB0"/>
    <w:rsid w:val="00C31575"/>
    <w:rsid w:val="00C53606"/>
    <w:rsid w:val="00C8061F"/>
    <w:rsid w:val="00C8252B"/>
    <w:rsid w:val="00C856A1"/>
    <w:rsid w:val="00C918A9"/>
    <w:rsid w:val="00C95FEC"/>
    <w:rsid w:val="00CB72C5"/>
    <w:rsid w:val="00CC2C37"/>
    <w:rsid w:val="00CE57AB"/>
    <w:rsid w:val="00CF38CE"/>
    <w:rsid w:val="00D06B47"/>
    <w:rsid w:val="00D11DA8"/>
    <w:rsid w:val="00D17AE7"/>
    <w:rsid w:val="00D41295"/>
    <w:rsid w:val="00D4780D"/>
    <w:rsid w:val="00D5377D"/>
    <w:rsid w:val="00D64F1A"/>
    <w:rsid w:val="00D72803"/>
    <w:rsid w:val="00D76214"/>
    <w:rsid w:val="00D77F59"/>
    <w:rsid w:val="00DC5E4D"/>
    <w:rsid w:val="00DD52D8"/>
    <w:rsid w:val="00DE1010"/>
    <w:rsid w:val="00DE431F"/>
    <w:rsid w:val="00DF4DBF"/>
    <w:rsid w:val="00E0544F"/>
    <w:rsid w:val="00E340FF"/>
    <w:rsid w:val="00E41DA8"/>
    <w:rsid w:val="00E47A58"/>
    <w:rsid w:val="00E51CA5"/>
    <w:rsid w:val="00E753D2"/>
    <w:rsid w:val="00E76822"/>
    <w:rsid w:val="00E81D87"/>
    <w:rsid w:val="00E86F4A"/>
    <w:rsid w:val="00E92B7C"/>
    <w:rsid w:val="00ED4B43"/>
    <w:rsid w:val="00EF2D91"/>
    <w:rsid w:val="00F03704"/>
    <w:rsid w:val="00F24F42"/>
    <w:rsid w:val="00F60DA0"/>
    <w:rsid w:val="00F73973"/>
    <w:rsid w:val="00F90A5A"/>
    <w:rsid w:val="00F93D69"/>
    <w:rsid w:val="00FA22D1"/>
    <w:rsid w:val="00FA24B5"/>
    <w:rsid w:val="00FB3393"/>
    <w:rsid w:val="00FB6E68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18A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1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4F42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18A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1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4F42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EA34-D276-4C8B-88F9-CB7433D2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Админ</cp:lastModifiedBy>
  <cp:revision>26</cp:revision>
  <cp:lastPrinted>2023-01-17T09:11:00Z</cp:lastPrinted>
  <dcterms:created xsi:type="dcterms:W3CDTF">2017-03-09T13:16:00Z</dcterms:created>
  <dcterms:modified xsi:type="dcterms:W3CDTF">2025-02-07T09:08:00Z</dcterms:modified>
</cp:coreProperties>
</file>