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2026 г.                          г. Ставрополь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отчете о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Ставрополя за 2025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>
        <w:rPr>
          <w:rFonts w:ascii="Times New Roman" w:hAnsi="Times New Roman"/>
          <w:sz w:val="28"/>
          <w:szCs w:val="28"/>
        </w:rPr>
        <w:t xml:space="preserve">В соответствии c Уставом муниципального образования городского округа города Ставрополя Ставропольского края Ставропольская городская Дума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Отчет о деятельности контрольно-счетной палаты города Ставрополя за 2025 год принять к сведению.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 Отчет о деятельности контрольно-счетной палаты города Ставрополя за 2025 год подлежит опубликованию в газете «Вечерний Ставрополь».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3. Настоящее решение вступает в силу со дня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 w:eastAsia="Times New Roman"/>
          <w:sz w:val="28"/>
          <w:szCs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166</cp:revision>
  <dcterms:created xsi:type="dcterms:W3CDTF">2017-12-11T11:20:00Z</dcterms:created>
  <dcterms:modified xsi:type="dcterms:W3CDTF">2026-04-29T10:35:54Z</dcterms:modified>
</cp:coreProperties>
</file>